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color w:val="auto"/>
          <w:sz w:val="52"/>
          <w:szCs w:val="52"/>
          <w:shd w:val="clear" w:color="auto" w:fill="auto"/>
        </w:rPr>
      </w:pPr>
      <w:r>
        <w:rPr>
          <w:rFonts w:hint="eastAsia"/>
          <w:color w:val="auto"/>
          <w:sz w:val="52"/>
          <w:szCs w:val="52"/>
          <w:shd w:val="clear" w:color="auto" w:fill="auto"/>
          <w:lang w:val="en-US" w:eastAsia="zh-CN"/>
        </w:rPr>
        <w:t>2024</w:t>
      </w:r>
      <w:r>
        <w:rPr>
          <w:rFonts w:hint="eastAsia"/>
          <w:color w:val="auto"/>
          <w:sz w:val="52"/>
          <w:szCs w:val="52"/>
          <w:shd w:val="clear" w:color="auto" w:fill="auto"/>
        </w:rPr>
        <w:t>年</w:t>
      </w:r>
      <w:r>
        <w:rPr>
          <w:rFonts w:hint="eastAsia"/>
          <w:color w:val="auto"/>
          <w:sz w:val="52"/>
          <w:szCs w:val="52"/>
          <w:shd w:val="clear" w:color="auto" w:fill="auto"/>
          <w:lang w:eastAsia="zh-CN"/>
        </w:rPr>
        <w:t>中国人民政治协商会议海口市秀英区委员会办公室单位</w:t>
      </w:r>
      <w:r>
        <w:rPr>
          <w:rFonts w:hint="eastAsia"/>
          <w:color w:val="auto"/>
          <w:sz w:val="52"/>
          <w:szCs w:val="52"/>
          <w:shd w:val="clear" w:color="auto" w:fill="auto"/>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val="0"/>
          <w:sz w:val="32"/>
          <w:szCs w:val="32"/>
          <w:lang w:eastAsia="zh-CN"/>
        </w:rPr>
        <w:t>中国人民政治协商会议海口市秀英区委员会办公室单位</w:t>
      </w:r>
      <w:r>
        <w:rPr>
          <w:rFonts w:hint="eastAsia" w:ascii="黑体" w:hAnsi="黑体" w:eastAsia="黑体"/>
          <w:sz w:val="32"/>
          <w:szCs w:val="32"/>
        </w:rPr>
        <w:t>概况</w:t>
      </w:r>
    </w:p>
    <w:p>
      <w:pPr>
        <w:pStyle w:val="11"/>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1"/>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中国人民政治协商会议海口市秀英区委员会办公室单位</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1"/>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年部门预算情况说明</w:t>
      </w:r>
    </w:p>
    <w:p>
      <w:pPr>
        <w:pStyle w:val="11"/>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1"/>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1"/>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年概况</w:t>
      </w:r>
    </w:p>
    <w:p>
      <w:pPr>
        <w:jc w:val="left"/>
        <w:rPr>
          <w:rFonts w:ascii="仿宋_GB2312" w:hAnsi="仿宋_GB2312" w:eastAsia="仿宋_GB2312" w:cs="仿宋_GB2312"/>
          <w:sz w:val="32"/>
          <w:szCs w:val="32"/>
        </w:rPr>
      </w:pPr>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1"/>
          <w:numId w:val="0"/>
        </w:numPr>
        <w:ind w:left="525" w:leftChars="250" w:firstLine="0" w:firstLineChars="0"/>
        <w:jc w:val="left"/>
        <w:rPr>
          <w:rFonts w:hint="eastAsia" w:ascii="仿宋_GB2312" w:hAnsi="黑体" w:eastAsia="仿宋_GB2312" w:cs="仿宋_GB2312"/>
          <w:sz w:val="32"/>
          <w:szCs w:val="32"/>
          <w:shd w:val="clear"/>
        </w:rPr>
      </w:pPr>
      <w:r>
        <w:rPr>
          <w:rFonts w:hint="eastAsia" w:ascii="仿宋_GB2312" w:hAnsi="黑体" w:eastAsia="仿宋_GB2312" w:cs="仿宋_GB2312"/>
          <w:sz w:val="32"/>
          <w:szCs w:val="32"/>
          <w:shd w:val="clear"/>
          <w:lang w:val="en-US" w:eastAsia="zh-CN"/>
        </w:rPr>
        <w:t>1.</w:t>
      </w:r>
      <w:r>
        <w:rPr>
          <w:rFonts w:hint="eastAsia" w:ascii="仿宋_GB2312" w:hAnsi="黑体" w:eastAsia="仿宋_GB2312" w:cs="仿宋_GB2312"/>
          <w:sz w:val="32"/>
          <w:szCs w:val="32"/>
          <w:highlight w:val="lightGray"/>
          <w:shd w:val="clear" w:color="auto" w:fill="auto"/>
        </w:rPr>
        <w:t>政协海口</w:t>
      </w:r>
      <w:r>
        <w:rPr>
          <w:rFonts w:hint="eastAsia" w:ascii="仿宋_GB2312" w:hAnsi="黑体" w:eastAsia="仿宋_GB2312" w:cs="仿宋_GB2312"/>
          <w:sz w:val="32"/>
          <w:szCs w:val="32"/>
          <w:highlight w:val="lightGray"/>
          <w:shd w:val="clear" w:color="auto" w:fill="auto"/>
          <w:lang w:eastAsia="zh-CN"/>
        </w:rPr>
        <w:t>市秀英区</w:t>
      </w:r>
      <w:r>
        <w:rPr>
          <w:rFonts w:hint="eastAsia" w:ascii="仿宋_GB2312" w:hAnsi="黑体" w:eastAsia="仿宋_GB2312" w:cs="仿宋_GB2312"/>
          <w:sz w:val="32"/>
          <w:szCs w:val="32"/>
          <w:highlight w:val="lightGray"/>
          <w:shd w:val="clear" w:color="auto" w:fill="auto"/>
        </w:rPr>
        <w:t>区委员会是中国人民政治协商会议的地方委员会，是爱国统一战线的组织，是中国共产党领导的多党合作和政治协商的重要机构，是发扬社会主义民主的重要形式。主要职能是政治协商和民主监督，组织参加本会的各党派、团体和各界人士参政议政。</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2．机构情况</w:t>
      </w:r>
      <w:r>
        <w:rPr>
          <w:rFonts w:hint="eastAsia" w:ascii="仿宋_GB2312" w:hAnsi="仿宋" w:eastAsia="仿宋_GB2312"/>
          <w:sz w:val="32"/>
          <w:szCs w:val="32"/>
          <w:lang w:eastAsia="zh-CN"/>
        </w:rPr>
        <w:t>：本单位</w:t>
      </w:r>
      <w:r>
        <w:rPr>
          <w:rFonts w:hint="eastAsia" w:ascii="仿宋_GB2312" w:hAnsi="仿宋" w:eastAsia="仿宋_GB2312"/>
          <w:sz w:val="32"/>
          <w:szCs w:val="32"/>
          <w:lang w:val="en-US" w:eastAsia="zh-CN"/>
        </w:rPr>
        <w:t>设置3个专门委员会，为提案委员会、经济委员会、社会委员会；设置1个综合办事机构为办公室；还有一个下属事业单位（非独立核算）政协委员服务中心</w:t>
      </w:r>
      <w:r>
        <w:rPr>
          <w:rFonts w:hint="eastAsia" w:ascii="仿宋_GB2312" w:hAnsi="仿宋" w:eastAsia="仿宋_GB2312"/>
          <w:sz w:val="32"/>
          <w:szCs w:val="32"/>
        </w:rPr>
        <w:t>。</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3．人员情况</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eastAsia="zh-CN"/>
        </w:rPr>
        <w:t>核定编制</w:t>
      </w:r>
      <w:r>
        <w:rPr>
          <w:rFonts w:hint="eastAsia" w:ascii="仿宋_GB2312" w:hAnsi="仿宋" w:eastAsia="仿宋_GB2312"/>
          <w:sz w:val="32"/>
          <w:szCs w:val="32"/>
          <w:lang w:val="en-US" w:eastAsia="zh-CN"/>
        </w:rPr>
        <w:t>8名，</w:t>
      </w:r>
      <w:r>
        <w:rPr>
          <w:rFonts w:hint="eastAsia" w:ascii="仿宋_GB2312" w:hAnsi="仿宋" w:eastAsia="仿宋_GB2312"/>
          <w:sz w:val="32"/>
          <w:szCs w:val="32"/>
          <w:lang w:eastAsia="zh-CN"/>
        </w:rPr>
        <w:t>在职</w:t>
      </w:r>
      <w:r>
        <w:rPr>
          <w:rFonts w:hint="eastAsia" w:ascii="仿宋_GB2312" w:hAnsi="仿宋" w:eastAsia="仿宋_GB2312"/>
          <w:sz w:val="32"/>
          <w:szCs w:val="32"/>
          <w:lang w:val="en-US" w:eastAsia="zh-CN"/>
        </w:rPr>
        <w:t>8名，事业编制4名，在职4名，全部纳入财政供养人员。</w:t>
      </w:r>
    </w:p>
    <w:p>
      <w:pPr>
        <w:pStyle w:val="2"/>
        <w:numPr>
          <w:ilvl w:val="0"/>
          <w:numId w:val="5"/>
        </w:numPr>
        <w:ind w:firstLineChars="0"/>
        <w:jc w:val="left"/>
      </w:pPr>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无。</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val="en-US"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年预算情况说明</w:t>
      </w:r>
    </w:p>
    <w:p>
      <w:pPr>
        <w:jc w:val="center"/>
        <w:rPr>
          <w:rFonts w:ascii="黑体" w:hAnsi="黑体" w:eastAsia="黑体"/>
          <w:sz w:val="32"/>
          <w:szCs w:val="32"/>
        </w:rPr>
      </w:pPr>
      <w:bookmarkStart w:id="0" w:name="_GoBack"/>
      <w:bookmarkEnd w:id="0"/>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cs="黑体"/>
          <w:b w:val="0"/>
          <w:bCs w:val="0"/>
          <w:sz w:val="32"/>
          <w:szCs w:val="32"/>
          <w:lang w:eastAsia="zh-CN"/>
        </w:rPr>
        <w:t>中国人民政治协商会议海口市秀英区委员会办公室单位</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黑体"/>
          <w:sz w:val="32"/>
          <w:szCs w:val="32"/>
        </w:rPr>
        <w:t>445.39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445.39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445.39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445.39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370.86</w:t>
      </w:r>
      <w:r>
        <w:rPr>
          <w:rFonts w:hint="eastAsia" w:ascii="仿宋_GB2312" w:hAnsi="黑体" w:eastAsia="仿宋_GB2312"/>
          <w:sz w:val="32"/>
          <w:szCs w:val="32"/>
        </w:rPr>
        <w:t>万元、 社会保障和就业支出</w:t>
      </w:r>
      <w:r>
        <w:rPr>
          <w:rFonts w:hint="default" w:ascii="仿宋_GB2312" w:hAnsi="黑体" w:eastAsia="仿宋_GB2312" w:cs="仿宋_GB2312"/>
          <w:sz w:val="32"/>
          <w:szCs w:val="32"/>
          <w:lang w:val="en-US"/>
        </w:rPr>
        <w:t>30.66</w:t>
      </w:r>
      <w:r>
        <w:rPr>
          <w:rFonts w:hint="eastAsia" w:ascii="仿宋_GB2312" w:hAnsi="黑体" w:eastAsia="仿宋_GB2312"/>
          <w:sz w:val="32"/>
          <w:szCs w:val="32"/>
        </w:rPr>
        <w:t>万元、 卫生健康支出</w:t>
      </w:r>
      <w:r>
        <w:rPr>
          <w:rFonts w:hint="default" w:ascii="仿宋_GB2312" w:hAnsi="黑体" w:eastAsia="仿宋_GB2312" w:cs="仿宋_GB2312"/>
          <w:sz w:val="32"/>
          <w:szCs w:val="32"/>
          <w:lang w:val="en-US"/>
        </w:rPr>
        <w:t>25.81</w:t>
      </w:r>
      <w:r>
        <w:rPr>
          <w:rFonts w:hint="eastAsia" w:ascii="仿宋_GB2312" w:hAnsi="黑体" w:eastAsia="仿宋_GB2312"/>
          <w:sz w:val="32"/>
          <w:szCs w:val="32"/>
        </w:rPr>
        <w:t>万元、 住房保障支出18.05万元，结转下年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黑体"/>
          <w:b w:val="0"/>
          <w:bCs w:val="0"/>
          <w:sz w:val="32"/>
          <w:szCs w:val="32"/>
          <w:lang w:eastAsia="zh-CN"/>
        </w:rPr>
        <w:t>中国人民政治协商会议海口市秀英区委员会办公室单位</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445.39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去年疫情没放开，导致无法正常开展工作，财政缩减预算，今年预算就是主要增加了调研和培训经费，所以预算有明显的增加。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一般公共服务（类）支出370.86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83.27</w:t>
      </w:r>
      <w:r>
        <w:rPr>
          <w:rFonts w:hint="eastAsia" w:ascii="仿宋_GB2312" w:hAnsi="黑体" w:eastAsia="仿宋_GB2312"/>
          <w:sz w:val="32"/>
          <w:szCs w:val="32"/>
        </w:rPr>
        <w:t>%；社会保障和就业支出30.66，占</w:t>
      </w:r>
      <w:r>
        <w:rPr>
          <w:rFonts w:hint="eastAsia" w:ascii="仿宋_GB2312" w:hAnsi="黑体" w:eastAsia="仿宋_GB2312"/>
          <w:sz w:val="32"/>
          <w:szCs w:val="32"/>
          <w:lang w:val="en-US" w:eastAsia="zh-CN"/>
        </w:rPr>
        <w:t>6.88%</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支出25.81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5.79</w:t>
      </w:r>
      <w:r>
        <w:rPr>
          <w:rFonts w:hint="eastAsia" w:ascii="仿宋_GB2312" w:hAnsi="黑体" w:eastAsia="仿宋_GB2312"/>
          <w:sz w:val="32"/>
          <w:szCs w:val="32"/>
        </w:rPr>
        <w:t>%；住房保障支出18.05万元，占</w:t>
      </w:r>
      <w:r>
        <w:rPr>
          <w:rFonts w:hint="eastAsia" w:ascii="仿宋_GB2312" w:hAnsi="黑体" w:eastAsia="仿宋_GB2312" w:cs="仿宋_GB2312"/>
          <w:sz w:val="32"/>
          <w:szCs w:val="32"/>
          <w:lang w:val="en-US" w:eastAsia="zh-CN"/>
        </w:rPr>
        <w:t>4.05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1.一般公共服务（类）政协事务（款）行政运行（项）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204.11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去年疫情没放开，导致无法正常开展工作，财政缩减预算，今年预算就是主要增加了调研和培训经费，所以预算有明显的增加。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一般公共服务（类）政协事务（款）一般行政管理事务（项）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124.95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去年疫情没放开，导致无法正常开展工作，财政缩减预算，今年预算就是主要增加了调研和培训经费，所以预算有明显的增加。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一般公共服务（类）政协事务（款）政协会议（项）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41.80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委员以及工作人员和列席人员</w:t>
      </w:r>
      <w:r>
        <w:rPr>
          <w:rFonts w:hint="eastAsia" w:ascii="仿宋_GB2312" w:hAnsi="黑体" w:eastAsia="仿宋_GB2312"/>
          <w:sz w:val="32"/>
          <w:szCs w:val="32"/>
          <w:lang w:val="en-US" w:eastAsia="zh-CN"/>
        </w:rPr>
        <w:t>上的减少，所以预算就有所减少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20.44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6.04</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2023年4月和5月新调入了4名事业编</w:t>
      </w:r>
      <w:r>
        <w:rPr>
          <w:rFonts w:hint="eastAsia" w:ascii="仿宋_GB2312" w:hAnsi="黑体" w:eastAsia="仿宋_GB2312"/>
          <w:sz w:val="32"/>
          <w:szCs w:val="32"/>
          <w:lang w:eastAsia="zh-CN"/>
        </w:rPr>
        <w:t>人员，所以</w:t>
      </w:r>
      <w:r>
        <w:rPr>
          <w:rFonts w:hint="eastAsia" w:ascii="仿宋_GB2312" w:hAnsi="黑体" w:eastAsia="仿宋_GB2312"/>
          <w:sz w:val="32"/>
          <w:szCs w:val="32"/>
          <w:lang w:val="en-US" w:eastAsia="zh-CN"/>
        </w:rPr>
        <w:t>2024年有所增加</w:t>
      </w:r>
      <w:r>
        <w:rPr>
          <w:rFonts w:hint="eastAsia" w:ascii="仿宋_GB2312" w:hAnsi="黑体" w:eastAsia="仿宋_GB2312"/>
          <w:sz w:val="32"/>
          <w:szCs w:val="32"/>
          <w:lang w:eastAsia="zh-CN"/>
        </w:rPr>
        <w:t>。</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5.社会保障和就业支出</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3.02</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2023年4月和5月新调入了4名事业编</w:t>
      </w:r>
      <w:r>
        <w:rPr>
          <w:rFonts w:hint="eastAsia" w:ascii="仿宋_GB2312" w:hAnsi="黑体" w:eastAsia="仿宋_GB2312"/>
          <w:sz w:val="32"/>
          <w:szCs w:val="32"/>
          <w:lang w:eastAsia="zh-CN"/>
        </w:rPr>
        <w:t>人员，所以</w:t>
      </w:r>
      <w:r>
        <w:rPr>
          <w:rFonts w:hint="eastAsia" w:ascii="仿宋_GB2312" w:hAnsi="黑体" w:eastAsia="仿宋_GB2312"/>
          <w:sz w:val="32"/>
          <w:szCs w:val="32"/>
          <w:lang w:val="en-US" w:eastAsia="zh-CN"/>
        </w:rPr>
        <w:t>2024年有所增加</w:t>
      </w:r>
      <w:r>
        <w:rPr>
          <w:rFonts w:hint="eastAsia" w:ascii="仿宋_GB2312" w:hAnsi="黑体" w:eastAsia="仿宋_GB2312"/>
          <w:sz w:val="32"/>
          <w:szCs w:val="32"/>
          <w:lang w:eastAsia="zh-CN"/>
        </w:rPr>
        <w:t>。</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6.卫生健康支出</w:t>
      </w:r>
      <w:r>
        <w:rPr>
          <w:rFonts w:hint="eastAsia" w:ascii="仿宋_GB2312" w:hAnsi="黑体" w:eastAsia="仿宋_GB2312" w:cs="仿宋_GB2312"/>
          <w:sz w:val="32"/>
          <w:szCs w:val="32"/>
        </w:rPr>
        <w:t>（类）行政事业单位医疗（款）行政单位医疗（项）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2.71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2023年4月和5月新调入了4名事业编</w:t>
      </w:r>
      <w:r>
        <w:rPr>
          <w:rFonts w:hint="eastAsia" w:ascii="仿宋_GB2312" w:hAnsi="黑体" w:eastAsia="仿宋_GB2312"/>
          <w:sz w:val="32"/>
          <w:szCs w:val="32"/>
          <w:lang w:eastAsia="zh-CN"/>
        </w:rPr>
        <w:t>人员，所以</w:t>
      </w:r>
      <w:r>
        <w:rPr>
          <w:rFonts w:hint="eastAsia" w:ascii="仿宋_GB2312" w:hAnsi="黑体" w:eastAsia="仿宋_GB2312"/>
          <w:sz w:val="32"/>
          <w:szCs w:val="32"/>
          <w:lang w:val="en-US" w:eastAsia="zh-CN"/>
        </w:rPr>
        <w:t>2024年有所增加</w:t>
      </w:r>
      <w:r>
        <w:rPr>
          <w:rFonts w:hint="eastAsia" w:ascii="仿宋_GB2312" w:hAnsi="黑体" w:eastAsia="仿宋_GB2312"/>
          <w:sz w:val="32"/>
          <w:szCs w:val="32"/>
          <w:lang w:eastAsia="zh-CN"/>
        </w:rPr>
        <w:t>。</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7.卫生健康支出</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4.55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2023年4月和5月新调入了4名事业编</w:t>
      </w:r>
      <w:r>
        <w:rPr>
          <w:rFonts w:hint="eastAsia" w:ascii="仿宋_GB2312" w:hAnsi="黑体" w:eastAsia="仿宋_GB2312"/>
          <w:sz w:val="32"/>
          <w:szCs w:val="32"/>
          <w:lang w:eastAsia="zh-CN"/>
        </w:rPr>
        <w:t>人员，所以</w:t>
      </w:r>
      <w:r>
        <w:rPr>
          <w:rFonts w:hint="eastAsia" w:ascii="仿宋_GB2312" w:hAnsi="黑体" w:eastAsia="仿宋_GB2312"/>
          <w:sz w:val="32"/>
          <w:szCs w:val="32"/>
          <w:lang w:val="en-US" w:eastAsia="zh-CN"/>
        </w:rPr>
        <w:t>2024年有所增加</w:t>
      </w:r>
      <w:r>
        <w:rPr>
          <w:rFonts w:hint="eastAsia" w:ascii="仿宋_GB2312" w:hAnsi="黑体" w:eastAsia="仿宋_GB2312"/>
          <w:sz w:val="32"/>
          <w:szCs w:val="32"/>
          <w:lang w:eastAsia="zh-CN"/>
        </w:rPr>
        <w:t>。</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8.住房保障支出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5.17</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2023年4月和5月新调入了4名事业编</w:t>
      </w:r>
      <w:r>
        <w:rPr>
          <w:rFonts w:hint="eastAsia" w:ascii="仿宋_GB2312" w:hAnsi="黑体" w:eastAsia="仿宋_GB2312"/>
          <w:sz w:val="32"/>
          <w:szCs w:val="32"/>
          <w:lang w:eastAsia="zh-CN"/>
        </w:rPr>
        <w:t>人员，所以</w:t>
      </w:r>
      <w:r>
        <w:rPr>
          <w:rFonts w:hint="eastAsia" w:ascii="仿宋_GB2312" w:hAnsi="黑体" w:eastAsia="仿宋_GB2312"/>
          <w:sz w:val="32"/>
          <w:szCs w:val="32"/>
          <w:lang w:val="en-US" w:eastAsia="zh-CN"/>
        </w:rPr>
        <w:t>2024年有所增加</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黑体"/>
          <w:b w:val="0"/>
          <w:bCs w:val="0"/>
          <w:sz w:val="32"/>
          <w:szCs w:val="32"/>
          <w:lang w:eastAsia="zh-CN"/>
        </w:rPr>
        <w:t>中国人民政治协商会议海口市秀英区委员会办公室单位</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278.64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黑体"/>
          <w:sz w:val="32"/>
          <w:szCs w:val="32"/>
        </w:rPr>
        <w:t>240.65</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、机关事业单位基本养老保险缴费、职业年金缴费、职工基本医疗保险缴费、公务员医疗补助缴费、其他社会保障缴费、住房公积金、医疗费、其他工资福利支出、邮电费、其他交通费用</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37.99</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办公费、手续费、邮电费</w:t>
      </w:r>
      <w:r>
        <w:rPr>
          <w:rFonts w:hint="eastAsia" w:ascii="仿宋_GB2312" w:hAnsi="黑体" w:eastAsia="仿宋_GB2312"/>
          <w:sz w:val="32"/>
          <w:szCs w:val="32"/>
          <w:lang w:eastAsia="zh-CN"/>
        </w:rPr>
        <w:t>、维修（护）费、委托业务费、工会经费、公务用车运行维护费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黑体"/>
          <w:b w:val="0"/>
          <w:bCs w:val="0"/>
          <w:sz w:val="32"/>
          <w:szCs w:val="32"/>
          <w:lang w:eastAsia="zh-CN"/>
        </w:rPr>
        <w:t>中国人民政治协商会议海口市秀英区委员会办公室单位</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黑体"/>
          <w:b w:val="0"/>
          <w:bCs w:val="0"/>
          <w:sz w:val="32"/>
          <w:szCs w:val="32"/>
          <w:lang w:eastAsia="zh-CN"/>
        </w:rPr>
        <w:t>中国人民政治协商会议海口市秀英区委员会办公室单位</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没变化；</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没变化。</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黑体"/>
          <w:b w:val="0"/>
          <w:bCs w:val="0"/>
          <w:sz w:val="32"/>
          <w:szCs w:val="32"/>
          <w:lang w:eastAsia="zh-CN"/>
        </w:rPr>
        <w:t>中国人民政治协商会议海口市秀英区委员会办公室单位</w:t>
      </w:r>
      <w:r>
        <w:rPr>
          <w:rFonts w:hint="eastAsia" w:ascii="仿宋_GB2312" w:hAnsi="黑体" w:eastAsia="仿宋_GB2312" w:cs="黑体"/>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无。</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b w:val="0"/>
          <w:bCs w:val="0"/>
          <w:sz w:val="32"/>
          <w:szCs w:val="32"/>
          <w:lang w:eastAsia="zh-CN"/>
        </w:rPr>
        <w:t>中国人民政治协商会议海口市秀英区委员会办公室单位</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上级补助收入</w:t>
      </w:r>
      <w:r>
        <w:rPr>
          <w:rFonts w:hint="eastAsia" w:ascii="仿宋_GB2312" w:hAnsi="黑体" w:eastAsia="仿宋_GB2312"/>
          <w:sz w:val="32"/>
          <w:szCs w:val="32"/>
          <w:lang w:eastAsia="zh-CN"/>
        </w:rPr>
        <w:t>、附属单位上缴收入、事业单位经营收入、其他收入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445.39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445.39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445.39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4名事业编和疫情解封后工作正常运行开展</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445.39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278.64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62.56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166.75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37.44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w:t>
      </w:r>
      <w:r>
        <w:rPr>
          <w:rFonts w:hint="eastAsia" w:ascii="仿宋_GB2312" w:hAnsi="黑体" w:eastAsia="仿宋_GB2312"/>
          <w:sz w:val="32"/>
          <w:szCs w:val="32"/>
          <w:lang w:val="en-US" w:eastAsia="zh-CN"/>
        </w:rPr>
        <w:t>4名事业编和疫情解封后工作正常运行开展</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b w:val="0"/>
          <w:bCs w:val="0"/>
          <w:sz w:val="32"/>
          <w:szCs w:val="32"/>
          <w:lang w:eastAsia="zh-CN"/>
        </w:rPr>
        <w:t>中国人民政治协商会议海口市秀英区委员会办公室</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b w:val="0"/>
          <w:bCs w:val="0"/>
          <w:sz w:val="32"/>
          <w:szCs w:val="32"/>
          <w:lang w:eastAsia="zh-CN"/>
        </w:rPr>
        <w:t>中国人民政治协商会议海口市秀英区委员会办公室单位</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445.39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33C7"/>
    <w:rsid w:val="02F016D4"/>
    <w:rsid w:val="0410633D"/>
    <w:rsid w:val="043737A9"/>
    <w:rsid w:val="06394D64"/>
    <w:rsid w:val="067C0EEE"/>
    <w:rsid w:val="0909380A"/>
    <w:rsid w:val="09266165"/>
    <w:rsid w:val="09797CE8"/>
    <w:rsid w:val="09C31E52"/>
    <w:rsid w:val="0AB22E75"/>
    <w:rsid w:val="0C2E431F"/>
    <w:rsid w:val="0FCC1C23"/>
    <w:rsid w:val="120A33FD"/>
    <w:rsid w:val="127D1F09"/>
    <w:rsid w:val="12894484"/>
    <w:rsid w:val="135B38E4"/>
    <w:rsid w:val="140F1ED9"/>
    <w:rsid w:val="14471D69"/>
    <w:rsid w:val="14C15B26"/>
    <w:rsid w:val="15E21E02"/>
    <w:rsid w:val="160009D8"/>
    <w:rsid w:val="16281F2E"/>
    <w:rsid w:val="166379DE"/>
    <w:rsid w:val="167E6686"/>
    <w:rsid w:val="173764E2"/>
    <w:rsid w:val="17F64A69"/>
    <w:rsid w:val="19D5DA33"/>
    <w:rsid w:val="1ADF4485"/>
    <w:rsid w:val="1CAB06FF"/>
    <w:rsid w:val="1FBF8E30"/>
    <w:rsid w:val="1FED4EB1"/>
    <w:rsid w:val="21AC7925"/>
    <w:rsid w:val="236C6050"/>
    <w:rsid w:val="25874DA1"/>
    <w:rsid w:val="25A22852"/>
    <w:rsid w:val="265E7B98"/>
    <w:rsid w:val="27A424DD"/>
    <w:rsid w:val="291F67D1"/>
    <w:rsid w:val="2953066D"/>
    <w:rsid w:val="29900FEE"/>
    <w:rsid w:val="2A7D5015"/>
    <w:rsid w:val="2B1C4823"/>
    <w:rsid w:val="2BDF0DC0"/>
    <w:rsid w:val="2CA53C63"/>
    <w:rsid w:val="2FF7110D"/>
    <w:rsid w:val="2FFFCED3"/>
    <w:rsid w:val="302E2561"/>
    <w:rsid w:val="31FE02A8"/>
    <w:rsid w:val="32081C10"/>
    <w:rsid w:val="33466114"/>
    <w:rsid w:val="384C171F"/>
    <w:rsid w:val="3A050BB7"/>
    <w:rsid w:val="3C123DEC"/>
    <w:rsid w:val="3C427BDB"/>
    <w:rsid w:val="3C8C7646"/>
    <w:rsid w:val="3C980A6D"/>
    <w:rsid w:val="3F287273"/>
    <w:rsid w:val="3F7FB4B5"/>
    <w:rsid w:val="3FAD4D11"/>
    <w:rsid w:val="40A661A3"/>
    <w:rsid w:val="412805E7"/>
    <w:rsid w:val="44CA485A"/>
    <w:rsid w:val="45276041"/>
    <w:rsid w:val="492A4410"/>
    <w:rsid w:val="4BC64F64"/>
    <w:rsid w:val="4C5A41A1"/>
    <w:rsid w:val="4E195F07"/>
    <w:rsid w:val="4FB80849"/>
    <w:rsid w:val="4FF1456D"/>
    <w:rsid w:val="502401DE"/>
    <w:rsid w:val="55794574"/>
    <w:rsid w:val="55BE13B4"/>
    <w:rsid w:val="566A054B"/>
    <w:rsid w:val="56927256"/>
    <w:rsid w:val="57AA6008"/>
    <w:rsid w:val="58E5780F"/>
    <w:rsid w:val="5A7E10F2"/>
    <w:rsid w:val="5C7675E9"/>
    <w:rsid w:val="5DB7E539"/>
    <w:rsid w:val="5E342F73"/>
    <w:rsid w:val="5F8C6828"/>
    <w:rsid w:val="5F9A4820"/>
    <w:rsid w:val="60B73EAB"/>
    <w:rsid w:val="633E0263"/>
    <w:rsid w:val="668B4598"/>
    <w:rsid w:val="66DACB0B"/>
    <w:rsid w:val="67536162"/>
    <w:rsid w:val="68F949AC"/>
    <w:rsid w:val="697BF56A"/>
    <w:rsid w:val="6AC17468"/>
    <w:rsid w:val="6B6CE30F"/>
    <w:rsid w:val="6C7F1319"/>
    <w:rsid w:val="6C966F55"/>
    <w:rsid w:val="6D997C98"/>
    <w:rsid w:val="6DC72022"/>
    <w:rsid w:val="6DDF74AC"/>
    <w:rsid w:val="6FAF0D8D"/>
    <w:rsid w:val="6FCFCADC"/>
    <w:rsid w:val="6FFA4FE6"/>
    <w:rsid w:val="703C55A7"/>
    <w:rsid w:val="715C49FD"/>
    <w:rsid w:val="717F548A"/>
    <w:rsid w:val="720018F2"/>
    <w:rsid w:val="74D06BB8"/>
    <w:rsid w:val="75BE2ACA"/>
    <w:rsid w:val="75FB0B04"/>
    <w:rsid w:val="76DC361B"/>
    <w:rsid w:val="79076A8B"/>
    <w:rsid w:val="799A05B1"/>
    <w:rsid w:val="79F7B683"/>
    <w:rsid w:val="7A26297D"/>
    <w:rsid w:val="7A86535C"/>
    <w:rsid w:val="7A8D78C3"/>
    <w:rsid w:val="7B5F00AC"/>
    <w:rsid w:val="7B892FF2"/>
    <w:rsid w:val="7D73BCCE"/>
    <w:rsid w:val="7DE79FA0"/>
    <w:rsid w:val="7DEBCAFF"/>
    <w:rsid w:val="7EDD8B29"/>
    <w:rsid w:val="7EEB0083"/>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qFormat="1" w:unhideWhenUsed="0"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hint="eastAsia" w:ascii="宋体" w:hAnsi="宋体" w:eastAsia="宋体" w:cs="黑体"/>
      <w:color w:val="000000"/>
      <w:sz w:val="24"/>
      <w:szCs w:val="22"/>
      <w:lang w:val="en-US" w:eastAsia="zh-CN" w:bidi="ar-SA"/>
    </w:rPr>
  </w:style>
  <w:style w:type="paragraph" w:customStyle="1" w:styleId="3">
    <w:name w:val="纯文本1"/>
    <w:basedOn w:val="1"/>
    <w:qFormat/>
    <w:uiPriority w:val="0"/>
    <w:rPr>
      <w:rFonts w:ascii="宋体" w:hAnsi="Courier New" w:eastAsia="宋体" w:cs="宋体"/>
      <w:sz w:val="20"/>
    </w:rPr>
  </w:style>
  <w:style w:type="paragraph" w:customStyle="1" w:styleId="4">
    <w:name w:val="样式1"/>
    <w:basedOn w:val="5"/>
    <w:next w:val="1"/>
    <w:qFormat/>
    <w:uiPriority w:val="0"/>
    <w:pPr>
      <w:snapToGrid w:val="0"/>
      <w:jc w:val="center"/>
    </w:pPr>
    <w:rPr>
      <w:rFonts w:ascii="宋体" w:eastAsia="宋体"/>
    </w:rPr>
  </w:style>
  <w:style w:type="paragraph" w:styleId="5">
    <w:name w:val="index heading"/>
    <w:basedOn w:val="1"/>
    <w:next w:val="6"/>
    <w:semiHidden/>
    <w:qFormat/>
    <w:uiPriority w:val="0"/>
    <w:rPr>
      <w:rFonts w:ascii="Arial" w:hAnsi="Arial" w:cs="Arial"/>
      <w:b/>
      <w:bCs/>
    </w:rPr>
  </w:style>
  <w:style w:type="paragraph" w:styleId="6">
    <w:name w:val="index 1"/>
    <w:basedOn w:val="1"/>
    <w:next w:val="1"/>
    <w:qFormat/>
    <w:uiPriority w:val="0"/>
    <w:pPr>
      <w:spacing w:line="192" w:lineRule="auto"/>
      <w:jc w:val="center"/>
    </w:pPr>
    <w:rPr>
      <w:rFonts w:ascii="宋体" w:hAnsi="宋体"/>
      <w:szCs w:val="20"/>
    </w:rPr>
  </w:style>
  <w:style w:type="paragraph" w:styleId="7">
    <w:name w:val="footer"/>
    <w:basedOn w:val="1"/>
    <w:link w:val="14"/>
    <w:semiHidden/>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List Paragraph"/>
    <w:basedOn w:val="1"/>
    <w:qFormat/>
    <w:uiPriority w:val="34"/>
    <w:pPr>
      <w:ind w:firstLine="420" w:firstLineChars="200"/>
    </w:pPr>
  </w:style>
  <w:style w:type="paragraph" w:customStyle="1" w:styleId="12">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3">
    <w:name w:val="页眉 Char"/>
    <w:basedOn w:val="10"/>
    <w:link w:val="8"/>
    <w:semiHidden/>
    <w:qFormat/>
    <w:uiPriority w:val="99"/>
    <w:rPr>
      <w:sz w:val="18"/>
      <w:szCs w:val="18"/>
    </w:rPr>
  </w:style>
  <w:style w:type="character" w:customStyle="1" w:styleId="14">
    <w:name w:val="页脚 Char"/>
    <w:basedOn w:val="10"/>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228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2024-03-05T06:38:19Z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