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sz w:val="52"/>
          <w:szCs w:val="52"/>
          <w:highlight w:val="none"/>
          <w:lang w:eastAsia="zh-CN"/>
        </w:rPr>
      </w:pPr>
      <w:r>
        <w:rPr>
          <w:rFonts w:hint="eastAsia" w:ascii="黑体" w:hAnsi="黑体" w:eastAsia="黑体"/>
          <w:sz w:val="52"/>
          <w:szCs w:val="52"/>
          <w:highlight w:val="none"/>
          <w:lang w:val="en-US" w:eastAsia="zh-CN"/>
        </w:rPr>
        <w:t>2024年</w:t>
      </w:r>
      <w:r>
        <w:rPr>
          <w:rFonts w:hint="eastAsia" w:ascii="黑体" w:hAnsi="黑体" w:eastAsia="黑体"/>
          <w:sz w:val="52"/>
          <w:szCs w:val="52"/>
          <w:highlight w:val="none"/>
          <w:lang w:eastAsia="zh-CN"/>
        </w:rPr>
        <w:t>海口市综合行政执法局秀英分局本级单位预算</w:t>
      </w:r>
    </w:p>
    <w:p>
      <w:pPr>
        <w:keepNext w:val="0"/>
        <w:keepLines w:val="0"/>
        <w:pageBreakBefore w:val="0"/>
        <w:widowControl w:val="0"/>
        <w:kinsoku/>
        <w:wordWrap/>
        <w:overflowPunct/>
        <w:topLinePunct w:val="0"/>
        <w:autoSpaceDE/>
        <w:autoSpaceDN/>
        <w:bidi w:val="0"/>
        <w:adjustRightInd/>
        <w:snapToGrid/>
        <w:spacing w:line="560" w:lineRule="exact"/>
        <w:ind w:firstLine="1680"/>
        <w:jc w:val="center"/>
        <w:textAlignment w:val="auto"/>
        <w:rPr>
          <w:sz w:val="84"/>
          <w:szCs w:val="84"/>
        </w:rPr>
      </w:pPr>
    </w:p>
    <w:p>
      <w:pPr>
        <w:keepNext w:val="0"/>
        <w:keepLines w:val="0"/>
        <w:pageBreakBefore w:val="0"/>
        <w:widowControl w:val="0"/>
        <w:kinsoku/>
        <w:wordWrap/>
        <w:overflowPunct/>
        <w:topLinePunct w:val="0"/>
        <w:autoSpaceDE/>
        <w:autoSpaceDN/>
        <w:bidi w:val="0"/>
        <w:adjustRightInd/>
        <w:snapToGrid/>
        <w:spacing w:line="560" w:lineRule="exact"/>
        <w:ind w:firstLine="1680"/>
        <w:jc w:val="center"/>
        <w:textAlignment w:val="auto"/>
        <w:rPr>
          <w:sz w:val="84"/>
          <w:szCs w:val="84"/>
        </w:rPr>
      </w:pPr>
    </w:p>
    <w:p>
      <w:pPr>
        <w:keepNext w:val="0"/>
        <w:keepLines w:val="0"/>
        <w:pageBreakBefore w:val="0"/>
        <w:widowControl w:val="0"/>
        <w:kinsoku/>
        <w:wordWrap/>
        <w:overflowPunct/>
        <w:topLinePunct w:val="0"/>
        <w:autoSpaceDE/>
        <w:autoSpaceDN/>
        <w:bidi w:val="0"/>
        <w:adjustRightInd/>
        <w:snapToGrid/>
        <w:spacing w:line="560" w:lineRule="exact"/>
        <w:ind w:firstLine="1680"/>
        <w:jc w:val="center"/>
        <w:textAlignment w:val="auto"/>
        <w:rPr>
          <w:sz w:val="84"/>
          <w:szCs w:val="84"/>
        </w:rPr>
      </w:pPr>
    </w:p>
    <w:p>
      <w:pPr>
        <w:keepNext w:val="0"/>
        <w:keepLines w:val="0"/>
        <w:pageBreakBefore w:val="0"/>
        <w:widowControl w:val="0"/>
        <w:kinsoku/>
        <w:wordWrap/>
        <w:overflowPunct/>
        <w:topLinePunct w:val="0"/>
        <w:autoSpaceDE/>
        <w:autoSpaceDN/>
        <w:bidi w:val="0"/>
        <w:adjustRightInd/>
        <w:snapToGrid/>
        <w:spacing w:line="560" w:lineRule="exact"/>
        <w:ind w:firstLine="1680"/>
        <w:jc w:val="center"/>
        <w:textAlignment w:val="auto"/>
        <w:rPr>
          <w:sz w:val="84"/>
          <w:szCs w:val="84"/>
        </w:rPr>
      </w:pPr>
    </w:p>
    <w:p>
      <w:pPr>
        <w:keepNext w:val="0"/>
        <w:keepLines w:val="0"/>
        <w:pageBreakBefore w:val="0"/>
        <w:widowControl w:val="0"/>
        <w:kinsoku/>
        <w:wordWrap/>
        <w:overflowPunct/>
        <w:topLinePunct w:val="0"/>
        <w:autoSpaceDE/>
        <w:autoSpaceDN/>
        <w:bidi w:val="0"/>
        <w:adjustRightInd/>
        <w:snapToGrid/>
        <w:spacing w:line="560" w:lineRule="exact"/>
        <w:ind w:firstLine="1680"/>
        <w:jc w:val="center"/>
        <w:textAlignment w:val="auto"/>
        <w:rPr>
          <w:sz w:val="84"/>
          <w:szCs w:val="84"/>
        </w:rPr>
      </w:pPr>
    </w:p>
    <w:p>
      <w:pPr>
        <w:keepNext w:val="0"/>
        <w:keepLines w:val="0"/>
        <w:pageBreakBefore w:val="0"/>
        <w:widowControl w:val="0"/>
        <w:kinsoku/>
        <w:wordWrap/>
        <w:overflowPunct/>
        <w:topLinePunct w:val="0"/>
        <w:autoSpaceDE/>
        <w:autoSpaceDN/>
        <w:bidi w:val="0"/>
        <w:adjustRightInd/>
        <w:snapToGrid/>
        <w:spacing w:line="560" w:lineRule="exact"/>
        <w:ind w:firstLine="1680"/>
        <w:jc w:val="center"/>
        <w:textAlignment w:val="auto"/>
        <w:rPr>
          <w:sz w:val="84"/>
          <w:szCs w:val="84"/>
        </w:rPr>
      </w:pPr>
    </w:p>
    <w:p>
      <w:pPr>
        <w:keepNext w:val="0"/>
        <w:keepLines w:val="0"/>
        <w:pageBreakBefore w:val="0"/>
        <w:widowControl w:val="0"/>
        <w:kinsoku/>
        <w:wordWrap/>
        <w:overflowPunct/>
        <w:topLinePunct w:val="0"/>
        <w:autoSpaceDE/>
        <w:autoSpaceDN/>
        <w:bidi w:val="0"/>
        <w:adjustRightInd/>
        <w:snapToGrid/>
        <w:spacing w:line="560" w:lineRule="exact"/>
        <w:ind w:firstLine="1680"/>
        <w:jc w:val="center"/>
        <w:textAlignment w:val="auto"/>
        <w:rPr>
          <w:sz w:val="84"/>
          <w:szCs w:val="84"/>
        </w:rPr>
      </w:pPr>
    </w:p>
    <w:p>
      <w:pPr>
        <w:keepNext w:val="0"/>
        <w:keepLines w:val="0"/>
        <w:pageBreakBefore w:val="0"/>
        <w:widowControl w:val="0"/>
        <w:kinsoku/>
        <w:wordWrap/>
        <w:overflowPunct/>
        <w:topLinePunct w:val="0"/>
        <w:autoSpaceDE/>
        <w:autoSpaceDN/>
        <w:bidi w:val="0"/>
        <w:adjustRightInd/>
        <w:snapToGrid/>
        <w:spacing w:line="560" w:lineRule="exact"/>
        <w:ind w:firstLine="1680"/>
        <w:jc w:val="center"/>
        <w:textAlignment w:val="auto"/>
        <w:rPr>
          <w:sz w:val="84"/>
          <w:szCs w:val="84"/>
        </w:rPr>
      </w:pPr>
    </w:p>
    <w:p>
      <w:pPr>
        <w:keepNext w:val="0"/>
        <w:keepLines w:val="0"/>
        <w:pageBreakBefore w:val="0"/>
        <w:widowControl w:val="0"/>
        <w:kinsoku/>
        <w:wordWrap/>
        <w:overflowPunct/>
        <w:topLinePunct w:val="0"/>
        <w:autoSpaceDE/>
        <w:autoSpaceDN/>
        <w:bidi w:val="0"/>
        <w:adjustRightInd/>
        <w:snapToGrid/>
        <w:spacing w:line="560" w:lineRule="exact"/>
        <w:ind w:firstLine="1680"/>
        <w:jc w:val="center"/>
        <w:textAlignment w:val="auto"/>
        <w:rPr>
          <w:sz w:val="84"/>
          <w:szCs w:val="84"/>
        </w:rPr>
      </w:pPr>
    </w:p>
    <w:p>
      <w:pPr>
        <w:keepNext w:val="0"/>
        <w:keepLines w:val="0"/>
        <w:pageBreakBefore w:val="0"/>
        <w:widowControl w:val="0"/>
        <w:kinsoku/>
        <w:wordWrap/>
        <w:overflowPunct/>
        <w:topLinePunct w:val="0"/>
        <w:autoSpaceDE/>
        <w:autoSpaceDN/>
        <w:bidi w:val="0"/>
        <w:adjustRightInd/>
        <w:snapToGrid/>
        <w:spacing w:line="560" w:lineRule="exact"/>
        <w:ind w:firstLine="1680"/>
        <w:jc w:val="center"/>
        <w:textAlignment w:val="auto"/>
        <w:rPr>
          <w:sz w:val="84"/>
          <w:szCs w:val="84"/>
        </w:rPr>
      </w:pPr>
    </w:p>
    <w:p>
      <w:pPr>
        <w:keepNext w:val="0"/>
        <w:keepLines w:val="0"/>
        <w:pageBreakBefore w:val="0"/>
        <w:widowControl w:val="0"/>
        <w:kinsoku/>
        <w:wordWrap/>
        <w:overflowPunct/>
        <w:topLinePunct w:val="0"/>
        <w:autoSpaceDE/>
        <w:autoSpaceDN/>
        <w:bidi w:val="0"/>
        <w:adjustRightInd/>
        <w:snapToGrid/>
        <w:spacing w:line="560" w:lineRule="exact"/>
        <w:ind w:firstLine="1680"/>
        <w:jc w:val="center"/>
        <w:textAlignment w:val="auto"/>
        <w:rPr>
          <w:sz w:val="84"/>
          <w:szCs w:val="84"/>
        </w:rPr>
      </w:pPr>
    </w:p>
    <w:p>
      <w:pPr>
        <w:keepNext w:val="0"/>
        <w:keepLines w:val="0"/>
        <w:pageBreakBefore w:val="0"/>
        <w:widowControl w:val="0"/>
        <w:kinsoku/>
        <w:wordWrap/>
        <w:overflowPunct/>
        <w:topLinePunct w:val="0"/>
        <w:autoSpaceDE/>
        <w:autoSpaceDN/>
        <w:bidi w:val="0"/>
        <w:adjustRightInd/>
        <w:snapToGrid/>
        <w:spacing w:line="560" w:lineRule="exact"/>
        <w:ind w:firstLine="1680"/>
        <w:jc w:val="center"/>
        <w:textAlignment w:val="auto"/>
        <w:rPr>
          <w:sz w:val="84"/>
          <w:szCs w:val="84"/>
        </w:rPr>
      </w:pPr>
    </w:p>
    <w:p>
      <w:pPr>
        <w:keepNext w:val="0"/>
        <w:keepLines w:val="0"/>
        <w:pageBreakBefore w:val="0"/>
        <w:widowControl w:val="0"/>
        <w:kinsoku/>
        <w:wordWrap/>
        <w:overflowPunct/>
        <w:topLinePunct w:val="0"/>
        <w:autoSpaceDE/>
        <w:autoSpaceDN/>
        <w:bidi w:val="0"/>
        <w:adjustRightInd/>
        <w:snapToGrid/>
        <w:spacing w:line="560" w:lineRule="exact"/>
        <w:ind w:firstLine="1680"/>
        <w:jc w:val="center"/>
        <w:textAlignment w:val="auto"/>
        <w:rPr>
          <w:sz w:val="84"/>
          <w:szCs w:val="8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sz w:val="84"/>
          <w:szCs w:val="8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sz w:val="52"/>
          <w:szCs w:val="52"/>
        </w:rPr>
      </w:pPr>
      <w:r>
        <w:rPr>
          <w:rFonts w:hint="eastAsia" w:ascii="黑体" w:hAnsi="黑体" w:eastAsia="黑体"/>
          <w:sz w:val="52"/>
          <w:szCs w:val="52"/>
        </w:rPr>
        <w:t>目录</w:t>
      </w:r>
    </w:p>
    <w:p>
      <w:pPr>
        <w:pStyle w:val="4"/>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Chars="0"/>
        <w:jc w:val="left"/>
        <w:textAlignment w:val="auto"/>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海口市综合行政执法局秀英分局本级</w:t>
      </w:r>
      <w:r>
        <w:rPr>
          <w:rFonts w:hint="eastAsia" w:ascii="黑体" w:hAnsi="黑体" w:eastAsia="黑体"/>
          <w:sz w:val="32"/>
          <w:szCs w:val="32"/>
          <w:lang w:val="en-US" w:eastAsia="zh-CN"/>
        </w:rPr>
        <w:t>单位</w:t>
      </w:r>
      <w:r>
        <w:rPr>
          <w:rFonts w:hint="eastAsia" w:ascii="黑体" w:hAnsi="黑体" w:eastAsia="黑体"/>
          <w:sz w:val="32"/>
          <w:szCs w:val="32"/>
        </w:rPr>
        <w:t>概况</w:t>
      </w:r>
    </w:p>
    <w:p>
      <w:pPr>
        <w:pStyle w:val="4"/>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Chars="0"/>
        <w:jc w:val="left"/>
        <w:textAlignment w:val="auto"/>
        <w:rPr>
          <w:rFonts w:ascii="黑体" w:hAnsi="黑体" w:eastAsia="黑体"/>
          <w:sz w:val="32"/>
          <w:szCs w:val="32"/>
        </w:rPr>
      </w:pPr>
      <w:r>
        <w:rPr>
          <w:rFonts w:hint="eastAsia" w:ascii="黑体" w:hAnsi="黑体" w:eastAsia="黑体"/>
          <w:sz w:val="32"/>
          <w:szCs w:val="32"/>
        </w:rPr>
        <w:t>主要职能</w:t>
      </w:r>
    </w:p>
    <w:p>
      <w:pPr>
        <w:pStyle w:val="4"/>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Chars="0"/>
        <w:jc w:val="left"/>
        <w:textAlignment w:val="auto"/>
        <w:rPr>
          <w:rFonts w:ascii="黑体" w:hAnsi="黑体" w:eastAsia="黑体"/>
          <w:sz w:val="32"/>
          <w:szCs w:val="32"/>
        </w:rPr>
      </w:pPr>
      <w:r>
        <w:rPr>
          <w:rFonts w:hint="eastAsia" w:ascii="黑体" w:hAnsi="黑体" w:eastAsia="黑体"/>
          <w:sz w:val="32"/>
          <w:szCs w:val="32"/>
        </w:rPr>
        <w:t>部门预算单位构成（单位公开没有这部分内容）</w:t>
      </w:r>
    </w:p>
    <w:p>
      <w:pPr>
        <w:pStyle w:val="4"/>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Chars="0"/>
        <w:textAlignment w:val="auto"/>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海口市综合行政执法局秀英分局本级</w:t>
      </w:r>
      <w:r>
        <w:rPr>
          <w:rFonts w:hint="eastAsia" w:ascii="黑体" w:hAnsi="黑体" w:eastAsia="黑体"/>
          <w:sz w:val="32"/>
          <w:szCs w:val="32"/>
          <w:lang w:val="en-US" w:eastAsia="zh-CN"/>
        </w:rPr>
        <w:t>2024</w:t>
      </w:r>
      <w:r>
        <w:rPr>
          <w:rFonts w:hint="eastAsia" w:ascii="黑体" w:hAnsi="黑体" w:eastAsia="黑体"/>
          <w:sz w:val="32"/>
          <w:szCs w:val="32"/>
        </w:rPr>
        <w:t>年单位预算表</w:t>
      </w:r>
    </w:p>
    <w:p>
      <w:pPr>
        <w:pStyle w:val="4"/>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4"/>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4"/>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4"/>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4"/>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4"/>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4"/>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Chars="0"/>
        <w:jc w:val="left"/>
        <w:textAlignment w:val="auto"/>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4"/>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Chars="0"/>
        <w:jc w:val="left"/>
        <w:textAlignment w:val="auto"/>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4"/>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Chars="0"/>
        <w:jc w:val="left"/>
        <w:textAlignment w:val="auto"/>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4"/>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Chars="0"/>
        <w:jc w:val="left"/>
        <w:textAlignment w:val="auto"/>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4"/>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Chars="0"/>
        <w:jc w:val="left"/>
        <w:textAlignment w:val="auto"/>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海口市综合行政执法局秀英分局本级</w:t>
      </w:r>
      <w:r>
        <w:rPr>
          <w:rFonts w:hint="eastAsia" w:ascii="黑体" w:hAnsi="黑体" w:eastAsia="黑体"/>
          <w:sz w:val="32"/>
          <w:szCs w:val="32"/>
          <w:lang w:val="en-US" w:eastAsia="zh-CN"/>
        </w:rPr>
        <w:t>2024</w:t>
      </w:r>
      <w:r>
        <w:rPr>
          <w:rFonts w:hint="eastAsia" w:ascii="黑体" w:hAnsi="黑体" w:eastAsia="黑体"/>
          <w:sz w:val="32"/>
          <w:szCs w:val="32"/>
        </w:rPr>
        <w:t>年单位预算情况说明</w:t>
      </w:r>
    </w:p>
    <w:p>
      <w:pPr>
        <w:pStyle w:val="4"/>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Chars="0"/>
        <w:jc w:val="left"/>
        <w:textAlignment w:val="auto"/>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4"/>
        <w:keepNext w:val="0"/>
        <w:keepLines w:val="0"/>
        <w:pageBreakBefore w:val="0"/>
        <w:widowControl w:val="0"/>
        <w:kinsoku/>
        <w:wordWrap/>
        <w:overflowPunct/>
        <w:topLinePunct w:val="0"/>
        <w:autoSpaceDE/>
        <w:autoSpaceDN/>
        <w:bidi w:val="0"/>
        <w:adjustRightInd/>
        <w:snapToGrid/>
        <w:spacing w:line="560" w:lineRule="exact"/>
        <w:ind w:left="1320" w:firstLine="0" w:firstLineChars="0"/>
        <w:jc w:val="left"/>
        <w:textAlignment w:val="auto"/>
        <w:rPr>
          <w:rFonts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黑体" w:hAnsi="黑体" w:eastAsia="黑体"/>
          <w:sz w:val="32"/>
          <w:szCs w:val="32"/>
        </w:rPr>
      </w:pPr>
    </w:p>
    <w:p>
      <w:pPr>
        <w:pStyle w:val="4"/>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Chars="0"/>
        <w:jc w:val="center"/>
        <w:textAlignment w:val="auto"/>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海口市综合行政执法局秀英分局本级</w:t>
      </w:r>
      <w:r>
        <w:rPr>
          <w:rFonts w:hint="eastAsia" w:ascii="黑体" w:hAnsi="黑体" w:eastAsia="黑体"/>
          <w:sz w:val="32"/>
          <w:szCs w:val="32"/>
          <w:lang w:val="en-US" w:eastAsia="zh-CN"/>
        </w:rPr>
        <w:t>单位</w:t>
      </w:r>
      <w:r>
        <w:rPr>
          <w:rFonts w:hint="eastAsia" w:ascii="黑体" w:hAnsi="黑体" w:eastAsia="黑体"/>
          <w:sz w:val="32"/>
          <w:szCs w:val="32"/>
        </w:rPr>
        <w:t>概况</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_GB2312" w:hAnsi="仿宋_GB2312" w:eastAsia="仿宋_GB2312" w:cs="仿宋_GB2312"/>
          <w:sz w:val="32"/>
          <w:szCs w:val="32"/>
        </w:rPr>
      </w:pPr>
    </w:p>
    <w:p>
      <w:pPr>
        <w:pStyle w:val="4"/>
        <w:keepNext w:val="0"/>
        <w:keepLines w:val="0"/>
        <w:pageBreakBefore w:val="0"/>
        <w:widowControl w:val="0"/>
        <w:numPr>
          <w:ilvl w:val="0"/>
          <w:numId w:val="5"/>
        </w:numPr>
        <w:kinsoku/>
        <w:wordWrap/>
        <w:overflowPunct/>
        <w:topLinePunct w:val="0"/>
        <w:autoSpaceDE/>
        <w:autoSpaceDN/>
        <w:bidi w:val="0"/>
        <w:adjustRightInd/>
        <w:snapToGrid/>
        <w:spacing w:line="560" w:lineRule="exact"/>
        <w:ind w:firstLineChars="0"/>
        <w:jc w:val="left"/>
        <w:textAlignment w:val="auto"/>
        <w:rPr>
          <w:rFonts w:ascii="黑体" w:hAnsi="黑体" w:eastAsia="黑体" w:cs="仿宋_GB2312"/>
          <w:sz w:val="32"/>
          <w:szCs w:val="32"/>
        </w:rPr>
      </w:pPr>
      <w:r>
        <w:rPr>
          <w:rFonts w:hint="eastAsia" w:ascii="黑体" w:hAnsi="黑体" w:eastAsia="黑体" w:cs="仿宋_GB2312"/>
          <w:sz w:val="32"/>
          <w:szCs w:val="32"/>
        </w:rPr>
        <w:t>主要职能</w:t>
      </w:r>
    </w:p>
    <w:p>
      <w:pPr>
        <w:pStyle w:val="5"/>
        <w:spacing w:line="520" w:lineRule="exact"/>
        <w:ind w:firstLine="640"/>
        <w:jc w:val="both"/>
        <w:rPr>
          <w:rFonts w:ascii="仿宋_GB2312" w:hAnsi="宋体" w:cs="宋体"/>
          <w:sz w:val="32"/>
          <w:szCs w:val="32"/>
        </w:rPr>
      </w:pPr>
      <w:r>
        <w:rPr>
          <w:rFonts w:hint="eastAsia" w:ascii="仿宋_GB2312" w:hAnsi="宋体" w:cs="宋体"/>
          <w:sz w:val="32"/>
          <w:szCs w:val="32"/>
        </w:rPr>
        <w:t>海口市综合行政执法局秀英分局（秀英区城管局）贯彻执行党中央关于综合行政执法、城市管理工作的方针政策和相关法律法规，落实省委、市委决策部署以及中国（海南）自由贸易试验区、中国 特色自由贸易港建设的政策措施，在履行职责过程中坚持和加 强党对综合行政执法、城市管理工作的集中统一领导。主要职责是：</w:t>
      </w:r>
    </w:p>
    <w:p>
      <w:pPr>
        <w:widowControl/>
        <w:spacing w:line="520" w:lineRule="exact"/>
        <w:ind w:firstLine="640" w:firstLineChars="200"/>
        <w:jc w:val="left"/>
        <w:rPr>
          <w:rFonts w:ascii="仿宋_GB2312" w:hAnsi="仿宋_GB2312" w:eastAsia="仿宋_GB2312"/>
          <w:sz w:val="32"/>
        </w:rPr>
      </w:pPr>
      <w:r>
        <w:rPr>
          <w:rFonts w:hint="eastAsia" w:ascii="仿宋_GB2312" w:hAnsi="仿宋_GB2312" w:eastAsia="仿宋_GB2312"/>
          <w:sz w:val="32"/>
        </w:rPr>
        <w:t>（一）负责拟订并组织实施秀英区有关综合行政执法、市容环境卫生、园林绿化、市政设施等工作的政策法规和发展规划，研究提出本区推进中国（海南）自由贸易试验区、中国特色自由贸易港建设有关综合行政执法和城市管理方面的意见和建议。</w:t>
      </w:r>
    </w:p>
    <w:p>
      <w:pPr>
        <w:widowControl/>
        <w:spacing w:line="520" w:lineRule="exact"/>
        <w:ind w:firstLine="640" w:firstLineChars="200"/>
        <w:jc w:val="left"/>
        <w:rPr>
          <w:rFonts w:ascii="仿宋_GB2312" w:hAnsi="仿宋_GB2312" w:eastAsia="仿宋_GB2312"/>
          <w:sz w:val="32"/>
        </w:rPr>
      </w:pPr>
      <w:r>
        <w:rPr>
          <w:rFonts w:hint="eastAsia" w:ascii="仿宋_GB2312" w:hAnsi="仿宋_GB2312" w:eastAsia="仿宋_GB2312"/>
          <w:sz w:val="32"/>
        </w:rPr>
        <w:t>（二）按照管理权限，负责行使辖区内城乡规划管理、土地管理、市政管理、园林绿化管理、环境卫生管理、住房城乡建设管理、旅游管理、农业农村管理（不含渔业）、水务管理、林业管理、科学工业信息管理、教育管理、劳动保障管理、殡葬管理、卫生健康管理、应急管理等16 个方面的全部行政处罚权及相应行政强制措施，以及电力管理方面的部分法律、法规、规章规定的行政处罚权及相应行政强制措施。</w:t>
      </w:r>
    </w:p>
    <w:p>
      <w:pPr>
        <w:widowControl/>
        <w:spacing w:line="520" w:lineRule="exact"/>
        <w:ind w:firstLine="640" w:firstLineChars="200"/>
        <w:jc w:val="left"/>
        <w:rPr>
          <w:rFonts w:ascii="仿宋_GB2312" w:hAnsi="仿宋_GB2312" w:eastAsia="仿宋_GB2312"/>
          <w:sz w:val="32"/>
        </w:rPr>
      </w:pPr>
      <w:r>
        <w:rPr>
          <w:rFonts w:hint="eastAsia" w:ascii="仿宋_GB2312" w:hAnsi="仿宋_GB2312" w:eastAsia="仿宋_GB2312"/>
          <w:sz w:val="32"/>
        </w:rPr>
        <w:t>（三）受理以上17 个方面有关违反法律、法规和规章行为的举报与投诉，查处违法案件；依法组织有关重大行政处罚案件的听证，负责办理行政诉讼、行政赔偿案件。</w:t>
      </w:r>
    </w:p>
    <w:p>
      <w:pPr>
        <w:widowControl/>
        <w:spacing w:line="520" w:lineRule="exact"/>
        <w:ind w:firstLine="640" w:firstLineChars="200"/>
        <w:jc w:val="left"/>
        <w:rPr>
          <w:rFonts w:ascii="仿宋_GB2312" w:hAnsi="仿宋_GB2312" w:eastAsia="仿宋_GB2312"/>
          <w:sz w:val="32"/>
        </w:rPr>
      </w:pPr>
      <w:r>
        <w:rPr>
          <w:rFonts w:hint="eastAsia" w:ascii="仿宋_GB2312" w:hAnsi="仿宋_GB2312" w:eastAsia="仿宋_GB2312"/>
          <w:sz w:val="32"/>
        </w:rPr>
        <w:t>（四）负责统一指挥调度区综合行政执法队伍、区环境卫生管理队伍、园林管理队伍，开展全区性的重大执法行动以及综合和专项整治活动。</w:t>
      </w:r>
    </w:p>
    <w:p>
      <w:pPr>
        <w:widowControl/>
        <w:spacing w:line="520" w:lineRule="exact"/>
        <w:ind w:firstLine="640" w:firstLineChars="200"/>
        <w:jc w:val="left"/>
        <w:rPr>
          <w:rFonts w:ascii="仿宋_GB2312" w:hAnsi="仿宋_GB2312" w:eastAsia="仿宋_GB2312"/>
          <w:sz w:val="32"/>
        </w:rPr>
      </w:pPr>
      <w:r>
        <w:rPr>
          <w:rFonts w:hint="eastAsia" w:ascii="仿宋_GB2312" w:hAnsi="仿宋_GB2312" w:eastAsia="仿宋_GB2312"/>
          <w:sz w:val="32"/>
        </w:rPr>
        <w:t>（五）负责本辖区综合行政执法工作的业务指导、统筹协调、监督检查和综合考核工作。</w:t>
      </w:r>
    </w:p>
    <w:p>
      <w:pPr>
        <w:widowControl/>
        <w:spacing w:line="520" w:lineRule="exact"/>
        <w:ind w:firstLine="640" w:firstLineChars="200"/>
        <w:jc w:val="left"/>
        <w:rPr>
          <w:rFonts w:ascii="仿宋_GB2312" w:hAnsi="仿宋_GB2312" w:eastAsia="仿宋_GB2312"/>
          <w:sz w:val="32"/>
        </w:rPr>
      </w:pPr>
      <w:r>
        <w:rPr>
          <w:rFonts w:hint="eastAsia" w:ascii="仿宋_GB2312" w:hAnsi="仿宋_GB2312" w:eastAsia="仿宋_GB2312"/>
          <w:sz w:val="32"/>
        </w:rPr>
        <w:t>（六）负责本辖区综合行政执法队伍的标准化、规范化建设和管理，组织开展城市管理和综合行政执法的宣传教育和培训。</w:t>
      </w:r>
    </w:p>
    <w:p>
      <w:pPr>
        <w:widowControl/>
        <w:spacing w:line="520" w:lineRule="exact"/>
        <w:ind w:firstLine="640" w:firstLineChars="200"/>
        <w:jc w:val="left"/>
        <w:rPr>
          <w:rFonts w:ascii="仿宋_GB2312" w:hAnsi="仿宋_GB2312" w:eastAsia="仿宋_GB2312"/>
          <w:sz w:val="32"/>
        </w:rPr>
      </w:pPr>
      <w:r>
        <w:rPr>
          <w:rFonts w:hint="eastAsia" w:ascii="仿宋_GB2312" w:hAnsi="仿宋_GB2312" w:eastAsia="仿宋_GB2312"/>
          <w:sz w:val="32"/>
        </w:rPr>
        <w:t>（七）负责城镇园林绿化、环境卫生的规划设计和建设管理工作；负责监督实施城市容貌标准、环境卫生质量标准和相关行业标准、规范。</w:t>
      </w:r>
    </w:p>
    <w:p>
      <w:pPr>
        <w:widowControl/>
        <w:spacing w:line="520" w:lineRule="exact"/>
        <w:ind w:firstLine="640" w:firstLineChars="200"/>
        <w:jc w:val="left"/>
        <w:rPr>
          <w:rFonts w:ascii="仿宋_GB2312" w:hAnsi="仿宋_GB2312" w:eastAsia="仿宋_GB2312"/>
          <w:sz w:val="32"/>
        </w:rPr>
      </w:pPr>
      <w:r>
        <w:rPr>
          <w:rFonts w:hint="eastAsia" w:ascii="仿宋_GB2312" w:hAnsi="仿宋_GB2312" w:eastAsia="仿宋_GB2312"/>
          <w:sz w:val="32"/>
        </w:rPr>
        <w:t>（八）负责编制区管市政设施的养护维修计划并监督组织实施；参与新建区管城市道路、照明等市政相关设施项目的技术方案审查、验收并组织接管工作。</w:t>
      </w:r>
    </w:p>
    <w:p>
      <w:pPr>
        <w:widowControl/>
        <w:spacing w:line="520" w:lineRule="exact"/>
        <w:ind w:firstLine="640" w:firstLineChars="200"/>
        <w:jc w:val="left"/>
        <w:rPr>
          <w:rFonts w:ascii="仿宋_GB2312" w:hAnsi="仿宋_GB2312" w:eastAsia="仿宋_GB2312"/>
          <w:sz w:val="32"/>
        </w:rPr>
      </w:pPr>
      <w:r>
        <w:rPr>
          <w:rFonts w:hint="eastAsia" w:ascii="仿宋_GB2312" w:hAnsi="仿宋_GB2312" w:eastAsia="仿宋_GB2312"/>
          <w:sz w:val="32"/>
        </w:rPr>
        <w:t>（九）负责组织区管市政排水管道设施及附属设施（污水处理设施除外）的建设、管理、改造、养护、维修工作；负责本辖区内防风防汛排涝中市政设施的应急抢修。</w:t>
      </w:r>
    </w:p>
    <w:p>
      <w:pPr>
        <w:widowControl/>
        <w:spacing w:line="520" w:lineRule="exact"/>
        <w:ind w:firstLine="640" w:firstLineChars="200"/>
        <w:jc w:val="left"/>
        <w:rPr>
          <w:rFonts w:ascii="仿宋_GB2312" w:hAnsi="仿宋_GB2312" w:eastAsia="仿宋_GB2312"/>
          <w:sz w:val="32"/>
        </w:rPr>
      </w:pPr>
      <w:r>
        <w:rPr>
          <w:rFonts w:hint="eastAsia" w:ascii="仿宋_GB2312" w:hAnsi="仿宋_GB2312" w:eastAsia="仿宋_GB2312"/>
          <w:sz w:val="32"/>
        </w:rPr>
        <w:t>（十）负责市政系统安全生产和城镇燃气行业监督管理。</w:t>
      </w:r>
    </w:p>
    <w:p>
      <w:pPr>
        <w:widowControl/>
        <w:spacing w:line="520" w:lineRule="exact"/>
        <w:ind w:firstLine="640" w:firstLineChars="200"/>
        <w:jc w:val="left"/>
        <w:rPr>
          <w:rFonts w:hint="eastAsia" w:ascii="仿宋_GB2312" w:hAnsi="仿宋_GB2312" w:eastAsia="仿宋_GB2312"/>
          <w:sz w:val="32"/>
        </w:rPr>
      </w:pPr>
      <w:r>
        <w:rPr>
          <w:rFonts w:hint="eastAsia" w:ascii="仿宋_GB2312" w:hAnsi="仿宋_GB2312" w:eastAsia="仿宋_GB2312"/>
          <w:sz w:val="32"/>
        </w:rPr>
        <w:t>（十一）完成区委区政府、市综合行政执法局和上级交办的其他任务。</w:t>
      </w:r>
    </w:p>
    <w:p>
      <w:pPr>
        <w:numPr>
          <w:ilvl w:val="0"/>
          <w:numId w:val="6"/>
        </w:numPr>
        <w:spacing w:line="560" w:lineRule="exact"/>
        <w:ind w:firstLine="640" w:firstLineChars="200"/>
        <w:rPr>
          <w:rFonts w:hint="eastAsia" w:ascii="黑体" w:hAnsi="黑体" w:eastAsia="黑体"/>
          <w:sz w:val="32"/>
          <w:szCs w:val="32"/>
        </w:rPr>
      </w:pPr>
      <w:r>
        <w:rPr>
          <w:rFonts w:hint="eastAsia" w:ascii="仿宋_GB2312" w:hAnsi="黑体" w:eastAsia="仿宋_GB2312" w:cs="仿宋_GB2312"/>
          <w:sz w:val="32"/>
          <w:szCs w:val="32"/>
        </w:rPr>
        <w:t xml:space="preserve"> </w:t>
      </w:r>
      <w:r>
        <w:rPr>
          <w:rFonts w:hint="eastAsia" w:ascii="黑体" w:hAnsi="黑体" w:eastAsia="黑体"/>
          <w:sz w:val="32"/>
          <w:szCs w:val="32"/>
        </w:rPr>
        <w:t>海口市综合行政执法局秀英分局</w:t>
      </w:r>
      <w:r>
        <w:rPr>
          <w:rFonts w:hint="eastAsia" w:ascii="黑体" w:hAnsi="黑体" w:eastAsia="黑体"/>
          <w:sz w:val="32"/>
          <w:szCs w:val="32"/>
          <w:lang w:val="en-US" w:eastAsia="zh-CN"/>
        </w:rPr>
        <w:t>本级</w:t>
      </w:r>
      <w:r>
        <w:rPr>
          <w:rFonts w:hint="eastAsia" w:ascii="仿宋_GB2312" w:hAnsi="黑体" w:eastAsia="仿宋_GB2312" w:cs="仿宋_GB2312"/>
          <w:sz w:val="32"/>
          <w:szCs w:val="32"/>
        </w:rPr>
        <w:t>202</w:t>
      </w:r>
      <w:r>
        <w:rPr>
          <w:rFonts w:ascii="仿宋_GB2312" w:hAnsi="黑体" w:eastAsia="仿宋_GB2312" w:cs="仿宋_GB2312"/>
          <w:sz w:val="32"/>
          <w:szCs w:val="32"/>
        </w:rPr>
        <w:t>4</w:t>
      </w:r>
      <w:r>
        <w:rPr>
          <w:rFonts w:hint="eastAsia" w:ascii="黑体" w:hAnsi="黑体" w:eastAsia="黑体"/>
          <w:sz w:val="32"/>
          <w:szCs w:val="32"/>
        </w:rPr>
        <w:t>年</w:t>
      </w:r>
      <w:r>
        <w:rPr>
          <w:rFonts w:hint="eastAsia" w:ascii="黑体" w:hAnsi="黑体" w:eastAsia="黑体"/>
          <w:sz w:val="32"/>
          <w:szCs w:val="32"/>
          <w:lang w:val="en-US" w:eastAsia="zh-CN"/>
        </w:rPr>
        <w:t>单位</w:t>
      </w:r>
      <w:r>
        <w:rPr>
          <w:rFonts w:hint="eastAsia" w:ascii="黑体" w:hAnsi="黑体" w:eastAsia="黑体"/>
          <w:sz w:val="32"/>
          <w:szCs w:val="32"/>
        </w:rPr>
        <w:t>预算表</w:t>
      </w:r>
    </w:p>
    <w:p>
      <w:pPr>
        <w:numPr>
          <w:ilvl w:val="0"/>
          <w:numId w:val="0"/>
        </w:numPr>
        <w:spacing w:line="560" w:lineRule="exact"/>
        <w:rPr>
          <w:rFonts w:hint="default" w:ascii="黑体" w:hAnsi="黑体" w:eastAsia="黑体"/>
          <w:sz w:val="32"/>
          <w:szCs w:val="32"/>
          <w:lang w:val="en-US" w:eastAsia="zh-CN"/>
        </w:rPr>
      </w:pPr>
      <w:r>
        <w:rPr>
          <w:rFonts w:hint="eastAsia" w:ascii="黑体" w:hAnsi="黑体" w:eastAsia="黑体"/>
          <w:sz w:val="32"/>
          <w:szCs w:val="32"/>
          <w:lang w:val="en-US" w:eastAsia="zh-CN"/>
        </w:rPr>
        <w:t xml:space="preserve">   </w:t>
      </w:r>
    </w:p>
    <w:p>
      <w:pPr>
        <w:spacing w:line="560" w:lineRule="exact"/>
        <w:ind w:firstLine="482" w:firstLineChars="150"/>
        <w:rPr>
          <w:rFonts w:ascii="黑体" w:hAnsi="黑体" w:eastAsia="黑体"/>
          <w:b/>
          <w:bCs/>
          <w:sz w:val="32"/>
          <w:szCs w:val="32"/>
        </w:rPr>
      </w:pPr>
      <w:r>
        <w:rPr>
          <w:rFonts w:hint="eastAsia" w:ascii="黑体" w:hAnsi="黑体" w:eastAsia="黑体"/>
          <w:b/>
          <w:bCs/>
          <w:sz w:val="32"/>
          <w:szCs w:val="32"/>
        </w:rPr>
        <w:t>（此部分内容即为</w:t>
      </w:r>
      <w:r>
        <w:rPr>
          <w:rFonts w:hint="eastAsia" w:ascii="黑体" w:hAnsi="黑体" w:eastAsia="黑体"/>
          <w:b/>
          <w:bCs/>
          <w:sz w:val="32"/>
          <w:szCs w:val="32"/>
          <w:lang w:val="en-US" w:eastAsia="zh-CN"/>
        </w:rPr>
        <w:t>单位</w:t>
      </w:r>
      <w:r>
        <w:rPr>
          <w:rFonts w:hint="eastAsia" w:ascii="黑体" w:hAnsi="黑体" w:eastAsia="黑体"/>
          <w:b/>
          <w:bCs/>
          <w:sz w:val="32"/>
          <w:szCs w:val="32"/>
        </w:rPr>
        <w:t>预算公开表）</w:t>
      </w:r>
    </w:p>
    <w:p>
      <w:pPr>
        <w:widowControl/>
        <w:spacing w:line="520" w:lineRule="exact"/>
        <w:ind w:firstLine="640" w:firstLineChars="200"/>
        <w:jc w:val="left"/>
        <w:rPr>
          <w:rFonts w:hint="eastAsia" w:ascii="仿宋_GB2312" w:hAnsi="仿宋_GB2312" w:eastAsia="仿宋_GB2312"/>
          <w:sz w:val="32"/>
        </w:rPr>
      </w:pPr>
    </w:p>
    <w:p>
      <w:pPr>
        <w:widowControl/>
        <w:spacing w:line="520" w:lineRule="exact"/>
        <w:ind w:firstLine="640" w:firstLineChars="200"/>
        <w:jc w:val="left"/>
        <w:rPr>
          <w:rFonts w:hint="eastAsia" w:ascii="仿宋_GB2312" w:hAnsi="仿宋_GB2312" w:eastAsia="仿宋_GB2312"/>
          <w:sz w:val="32"/>
        </w:rPr>
      </w:pPr>
    </w:p>
    <w:p>
      <w:pPr>
        <w:widowControl/>
        <w:spacing w:line="520" w:lineRule="exact"/>
        <w:ind w:firstLine="640" w:firstLineChars="200"/>
        <w:jc w:val="left"/>
        <w:rPr>
          <w:rFonts w:hint="eastAsia" w:ascii="仿宋_GB2312" w:hAns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ascii="黑体" w:hAnsi="黑体" w:eastAsia="黑体"/>
          <w:sz w:val="32"/>
          <w:szCs w:val="32"/>
          <w:highlight w:val="none"/>
        </w:rPr>
      </w:pPr>
      <w:r>
        <w:rPr>
          <w:rFonts w:hint="eastAsia" w:ascii="黑体" w:hAnsi="黑体" w:eastAsia="黑体"/>
          <w:sz w:val="32"/>
          <w:szCs w:val="32"/>
          <w:highlight w:val="none"/>
        </w:rPr>
        <w:t xml:space="preserve">第三部分  </w:t>
      </w:r>
      <w:r>
        <w:rPr>
          <w:rFonts w:hint="eastAsia" w:ascii="黑体" w:hAnsi="黑体" w:eastAsia="黑体"/>
          <w:sz w:val="32"/>
          <w:szCs w:val="32"/>
          <w:highlight w:val="none"/>
          <w:lang w:eastAsia="zh-CN"/>
        </w:rPr>
        <w:t>海口市综合行政执法局秀英分局本级</w:t>
      </w:r>
      <w:r>
        <w:rPr>
          <w:rFonts w:hint="eastAsia" w:ascii="黑体" w:hAnsi="黑体" w:eastAsia="黑体"/>
          <w:sz w:val="32"/>
          <w:szCs w:val="32"/>
          <w:highlight w:val="none"/>
          <w:lang w:val="en-US" w:eastAsia="zh-CN"/>
        </w:rPr>
        <w:t>2024</w:t>
      </w:r>
      <w:r>
        <w:rPr>
          <w:rFonts w:hint="eastAsia" w:ascii="黑体" w:hAnsi="黑体" w:eastAsia="黑体"/>
          <w:sz w:val="32"/>
          <w:szCs w:val="32"/>
          <w:highlight w:val="none"/>
        </w:rPr>
        <w:t>年单位预算情况说明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highlight w:val="none"/>
          <w:lang w:eastAsia="zh-CN"/>
        </w:rPr>
        <w:t>海口市综合行政执法局秀英分局本级单位</w:t>
      </w:r>
      <w:r>
        <w:rPr>
          <w:rFonts w:hint="eastAsia" w:ascii="黑体" w:hAnsi="黑体" w:eastAsia="黑体"/>
          <w:sz w:val="32"/>
          <w:szCs w:val="32"/>
          <w:highlight w:val="none"/>
          <w:lang w:val="en-US" w:eastAsia="zh-CN"/>
        </w:rPr>
        <w:t>2024</w:t>
      </w:r>
      <w:r>
        <w:rPr>
          <w:rFonts w:hint="eastAsia" w:ascii="黑体" w:hAnsi="黑体" w:eastAsia="黑体"/>
          <w:sz w:val="32"/>
          <w:szCs w:val="32"/>
        </w:rPr>
        <w:t>年财政拨款收支预算情况的总体说明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黑体" w:eastAsia="仿宋_GB2312"/>
          <w:sz w:val="32"/>
          <w:szCs w:val="32"/>
        </w:rPr>
      </w:pPr>
      <w:r>
        <w:rPr>
          <w:rFonts w:hint="eastAsia" w:ascii="仿宋_GB2312" w:hAnsi="黑体" w:eastAsia="仿宋_GB2312"/>
          <w:sz w:val="32"/>
          <w:szCs w:val="32"/>
          <w:lang w:eastAsia="zh-CN"/>
        </w:rPr>
        <w:t>海口市综合行</w:t>
      </w:r>
      <w:bookmarkStart w:id="0" w:name="_GoBack"/>
      <w:bookmarkEnd w:id="0"/>
      <w:r>
        <w:rPr>
          <w:rFonts w:hint="eastAsia" w:ascii="仿宋_GB2312" w:hAnsi="黑体" w:eastAsia="仿宋_GB2312"/>
          <w:sz w:val="32"/>
          <w:szCs w:val="32"/>
          <w:lang w:eastAsia="zh-CN"/>
        </w:rPr>
        <w:t>政执法局秀英分局本级单位</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年财政拨款收支总预算</w:t>
      </w:r>
      <w:r>
        <w:rPr>
          <w:rFonts w:hint="eastAsia" w:ascii="仿宋_GB2312" w:hAnsi="黑体" w:eastAsia="仿宋_GB2312"/>
          <w:sz w:val="32"/>
          <w:szCs w:val="32"/>
          <w:lang w:val="en-US" w:eastAsia="zh-CN"/>
        </w:rPr>
        <w:t>3937.44</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3937.44</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3617.44</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sz w:val="32"/>
          <w:szCs w:val="32"/>
          <w:lang w:val="en-US" w:eastAsia="zh-CN"/>
        </w:rPr>
        <w:t>320.00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3937.44</w:t>
      </w:r>
      <w:r>
        <w:rPr>
          <w:rFonts w:hint="eastAsia" w:ascii="仿宋_GB2312" w:hAnsi="黑体" w:eastAsia="仿宋_GB2312"/>
          <w:sz w:val="32"/>
          <w:szCs w:val="32"/>
        </w:rPr>
        <w:t>万元，包括社会保障和就业支出</w:t>
      </w:r>
      <w:r>
        <w:rPr>
          <w:rFonts w:hint="eastAsia" w:ascii="仿宋_GB2312" w:hAnsi="黑体" w:eastAsia="仿宋_GB2312"/>
          <w:sz w:val="32"/>
          <w:szCs w:val="32"/>
          <w:lang w:val="en-US" w:eastAsia="zh-CN"/>
        </w:rPr>
        <w:t>41.06</w:t>
      </w:r>
      <w:r>
        <w:rPr>
          <w:rFonts w:hint="eastAsia" w:ascii="仿宋_GB2312" w:hAnsi="黑体" w:eastAsia="仿宋_GB2312"/>
          <w:sz w:val="32"/>
          <w:szCs w:val="32"/>
        </w:rPr>
        <w:t>万元、卫生健康支出</w:t>
      </w:r>
      <w:r>
        <w:rPr>
          <w:rFonts w:hint="eastAsia" w:ascii="仿宋_GB2312" w:hAnsi="黑体" w:eastAsia="仿宋_GB2312"/>
          <w:sz w:val="32"/>
          <w:szCs w:val="32"/>
          <w:lang w:val="en-US" w:eastAsia="zh-CN"/>
        </w:rPr>
        <w:t>46.98</w:t>
      </w:r>
      <w:r>
        <w:rPr>
          <w:rFonts w:hint="eastAsia" w:ascii="仿宋_GB2312" w:hAnsi="黑体" w:eastAsia="仿宋_GB2312"/>
          <w:sz w:val="32"/>
          <w:szCs w:val="32"/>
        </w:rPr>
        <w:t>万元、城乡社区支出</w:t>
      </w:r>
      <w:r>
        <w:rPr>
          <w:rFonts w:hint="eastAsia" w:ascii="仿宋_GB2312" w:hAnsi="黑体" w:eastAsia="仿宋_GB2312"/>
          <w:sz w:val="32"/>
          <w:szCs w:val="32"/>
          <w:lang w:val="en-US" w:eastAsia="zh-CN"/>
        </w:rPr>
        <w:t>3824.77</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住房保障支出24.62万元、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ascii="黑体" w:hAnsi="黑体" w:eastAsia="黑体"/>
          <w:color w:val="auto"/>
          <w:sz w:val="32"/>
          <w:szCs w:val="32"/>
        </w:rPr>
      </w:pPr>
      <w:r>
        <w:rPr>
          <w:rFonts w:hint="eastAsia" w:ascii="黑体" w:hAnsi="黑体" w:eastAsia="黑体"/>
          <w:color w:val="auto"/>
          <w:sz w:val="32"/>
          <w:szCs w:val="32"/>
        </w:rPr>
        <w:t>二、关于</w:t>
      </w:r>
      <w:r>
        <w:rPr>
          <w:rFonts w:hint="eastAsia" w:ascii="黑体" w:hAnsi="黑体" w:eastAsia="黑体"/>
          <w:color w:val="auto"/>
          <w:sz w:val="32"/>
          <w:szCs w:val="32"/>
          <w:highlight w:val="none"/>
          <w:lang w:eastAsia="zh-CN"/>
        </w:rPr>
        <w:t>海口市综合行政执法局秀英分局本级单位</w:t>
      </w:r>
      <w:r>
        <w:rPr>
          <w:rFonts w:hint="eastAsia" w:ascii="黑体" w:hAnsi="黑体" w:eastAsia="黑体"/>
          <w:color w:val="auto"/>
          <w:sz w:val="32"/>
          <w:szCs w:val="32"/>
          <w:lang w:val="en-US" w:eastAsia="zh-CN"/>
        </w:rPr>
        <w:t>2024</w:t>
      </w:r>
      <w:r>
        <w:rPr>
          <w:rFonts w:hint="eastAsia" w:ascii="黑体" w:hAnsi="黑体" w:eastAsia="黑体"/>
          <w:color w:val="auto"/>
          <w:sz w:val="32"/>
          <w:szCs w:val="32"/>
        </w:rPr>
        <w:t>年一般公共预算当年拨款情况说明</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ascii="楷体" w:hAnsi="楷体" w:eastAsia="楷体"/>
          <w:sz w:val="32"/>
          <w:szCs w:val="32"/>
        </w:rPr>
      </w:pPr>
      <w:r>
        <w:rPr>
          <w:rFonts w:hint="eastAsia" w:ascii="楷体" w:hAnsi="楷体" w:eastAsia="楷体"/>
          <w:sz w:val="32"/>
          <w:szCs w:val="32"/>
        </w:rPr>
        <w:t>（一）一般公共预算当年规模变化情况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黑体" w:eastAsia="仿宋_GB2312"/>
          <w:sz w:val="32"/>
          <w:szCs w:val="32"/>
          <w:lang w:val="en-US" w:eastAsia="zh-CN"/>
        </w:rPr>
      </w:pPr>
      <w:r>
        <w:rPr>
          <w:rFonts w:hint="eastAsia" w:ascii="仿宋_GB2312" w:hAnsi="黑体" w:eastAsia="仿宋_GB2312"/>
          <w:sz w:val="32"/>
          <w:szCs w:val="32"/>
          <w:lang w:eastAsia="zh-CN"/>
        </w:rPr>
        <w:t>海口市综合行政执法局秀英分局本级单位</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年一般公共预算当年拨款</w:t>
      </w:r>
      <w:r>
        <w:rPr>
          <w:rFonts w:hint="eastAsia" w:ascii="仿宋_GB2312" w:hAnsi="黑体" w:eastAsia="仿宋_GB2312"/>
          <w:sz w:val="32"/>
          <w:szCs w:val="32"/>
          <w:lang w:val="en-US" w:eastAsia="zh-CN"/>
        </w:rPr>
        <w:t>3617.44</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w:t>
      </w:r>
      <w:r>
        <w:rPr>
          <w:rFonts w:hint="eastAsia" w:ascii="仿宋_GB2312" w:hAnsi="黑体" w:eastAsia="仿宋_GB2312" w:cs="仿宋_GB2312"/>
          <w:sz w:val="32"/>
          <w:szCs w:val="32"/>
          <w:lang w:val="en-US" w:eastAsia="zh-CN"/>
        </w:rPr>
        <w:t>188.04</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增加城市管理综合整治项目预算。</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ascii="楷体" w:hAnsi="楷体" w:eastAsia="楷体"/>
          <w:sz w:val="32"/>
          <w:szCs w:val="32"/>
        </w:rPr>
      </w:pPr>
      <w:r>
        <w:rPr>
          <w:rFonts w:hint="eastAsia" w:ascii="楷体" w:hAnsi="楷体" w:eastAsia="楷体"/>
          <w:sz w:val="32"/>
          <w:szCs w:val="32"/>
        </w:rPr>
        <w:t>（二）一般公共预算当年拨款结构情况</w:t>
      </w:r>
    </w:p>
    <w:p>
      <w:pPr>
        <w:keepNext w:val="0"/>
        <w:keepLines w:val="0"/>
        <w:pageBreakBefore w:val="0"/>
        <w:widowControl w:val="0"/>
        <w:kinsoku/>
        <w:wordWrap/>
        <w:overflowPunct/>
        <w:topLinePunct w:val="0"/>
        <w:autoSpaceDE/>
        <w:autoSpaceDN/>
        <w:bidi w:val="0"/>
        <w:adjustRightInd/>
        <w:snapToGrid/>
        <w:spacing w:line="560" w:lineRule="exact"/>
        <w:ind w:firstLine="800" w:firstLineChars="250"/>
        <w:textAlignment w:val="auto"/>
        <w:rPr>
          <w:rFonts w:hint="eastAsia" w:ascii="仿宋_GB2312" w:hAnsi="黑体" w:eastAsia="仿宋_GB2312"/>
          <w:sz w:val="32"/>
          <w:szCs w:val="32"/>
          <w:lang w:eastAsia="zh-CN"/>
        </w:rPr>
      </w:pPr>
      <w:r>
        <w:rPr>
          <w:rFonts w:hint="eastAsia" w:ascii="仿宋_GB2312" w:hAnsi="黑体" w:eastAsia="仿宋_GB2312" w:cs="仿宋_GB2312"/>
          <w:sz w:val="32"/>
          <w:szCs w:val="32"/>
        </w:rPr>
        <w:t>社会保障和就业支出</w:t>
      </w:r>
      <w:r>
        <w:rPr>
          <w:rFonts w:hint="eastAsia" w:ascii="仿宋_GB2312" w:hAnsi="黑体" w:eastAsia="仿宋_GB2312" w:cs="仿宋_GB2312"/>
          <w:sz w:val="32"/>
          <w:szCs w:val="32"/>
          <w:lang w:val="en-US" w:eastAsia="zh-CN"/>
        </w:rPr>
        <w:t>41.06</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1.14</w:t>
      </w:r>
      <w:r>
        <w:rPr>
          <w:rFonts w:hint="eastAsia" w:ascii="仿宋_GB2312" w:hAnsi="黑体" w:eastAsia="仿宋_GB2312"/>
          <w:sz w:val="32"/>
          <w:szCs w:val="32"/>
        </w:rPr>
        <w:t>%；卫生健康支出</w:t>
      </w:r>
      <w:r>
        <w:rPr>
          <w:rFonts w:hint="eastAsia" w:ascii="仿宋_GB2312" w:hAnsi="黑体" w:eastAsia="仿宋_GB2312" w:cs="仿宋_GB2312"/>
          <w:sz w:val="32"/>
          <w:szCs w:val="32"/>
          <w:lang w:val="en-US" w:eastAsia="zh-CN"/>
        </w:rPr>
        <w:t>46.98万</w:t>
      </w:r>
      <w:r>
        <w:rPr>
          <w:rFonts w:hint="eastAsia" w:ascii="仿宋_GB2312" w:hAnsi="黑体" w:eastAsia="仿宋_GB2312"/>
          <w:sz w:val="32"/>
          <w:szCs w:val="32"/>
        </w:rPr>
        <w:t>元，占</w:t>
      </w:r>
      <w:r>
        <w:rPr>
          <w:rFonts w:hint="eastAsia" w:ascii="仿宋_GB2312" w:hAnsi="黑体" w:eastAsia="仿宋_GB2312"/>
          <w:sz w:val="32"/>
          <w:szCs w:val="32"/>
          <w:lang w:val="en-US" w:eastAsia="zh-CN"/>
        </w:rPr>
        <w:t>1.30</w:t>
      </w:r>
      <w:r>
        <w:rPr>
          <w:rFonts w:hint="eastAsia" w:ascii="仿宋_GB2312" w:hAnsi="黑体" w:eastAsia="仿宋_GB2312"/>
          <w:sz w:val="32"/>
          <w:szCs w:val="32"/>
        </w:rPr>
        <w:t>%；城乡社区支出</w:t>
      </w:r>
      <w:r>
        <w:rPr>
          <w:rFonts w:hint="eastAsia" w:ascii="仿宋_GB2312" w:hAnsi="黑体" w:eastAsia="仿宋_GB2312"/>
          <w:sz w:val="32"/>
          <w:szCs w:val="32"/>
          <w:lang w:val="en-US" w:eastAsia="zh-CN"/>
        </w:rPr>
        <w:t>3504.77</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96.89</w:t>
      </w:r>
      <w:r>
        <w:rPr>
          <w:rFonts w:hint="eastAsia" w:ascii="仿宋_GB2312" w:hAnsi="黑体" w:eastAsia="仿宋_GB2312"/>
          <w:sz w:val="32"/>
          <w:szCs w:val="32"/>
        </w:rPr>
        <w:t>%；住房保障支出</w:t>
      </w:r>
      <w:r>
        <w:rPr>
          <w:rFonts w:hint="eastAsia" w:ascii="仿宋_GB2312" w:hAnsi="黑体" w:eastAsia="仿宋_GB2312" w:cs="仿宋_GB2312"/>
          <w:sz w:val="32"/>
          <w:szCs w:val="32"/>
          <w:lang w:val="en-US" w:eastAsia="zh-CN"/>
        </w:rPr>
        <w:t>24.62</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0.68</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ascii="楷体" w:hAnsi="楷体" w:eastAsia="楷体"/>
          <w:sz w:val="32"/>
          <w:szCs w:val="32"/>
        </w:rPr>
      </w:pPr>
      <w:r>
        <w:rPr>
          <w:rFonts w:hint="eastAsia" w:ascii="楷体" w:hAnsi="楷体" w:eastAsia="楷体"/>
          <w:sz w:val="32"/>
          <w:szCs w:val="32"/>
        </w:rPr>
        <w:t>（三）一般公共预算当年拨款具体使用情况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sz w:val="32"/>
          <w:szCs w:val="32"/>
          <w:lang w:eastAsia="zh-CN"/>
        </w:rPr>
      </w:pPr>
      <w:r>
        <w:rPr>
          <w:rFonts w:hint="eastAsia" w:ascii="仿宋_GB2312" w:hAnsi="黑体" w:eastAsia="仿宋_GB2312" w:cs="仿宋_GB2312"/>
          <w:sz w:val="32"/>
          <w:szCs w:val="32"/>
        </w:rPr>
        <w:t>1.社会保障和就业</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（类）行政事业单位养老支出（款）机关事业单位基本养老保险缴费支出（项）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27.38</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w:t>
      </w:r>
      <w:r>
        <w:rPr>
          <w:rFonts w:hint="eastAsia" w:ascii="仿宋_GB2312" w:hAnsi="黑体" w:eastAsia="仿宋_GB2312" w:cs="仿宋_GB2312"/>
          <w:sz w:val="32"/>
          <w:szCs w:val="32"/>
          <w:lang w:val="en-US" w:eastAsia="zh-CN"/>
        </w:rPr>
        <w:t>1.34</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养老保险缴纳基数调整，预算增加</w:t>
      </w:r>
      <w:r>
        <w:rPr>
          <w:rFonts w:hint="eastAsia" w:ascii="仿宋_GB2312" w:hAnsi="黑体"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黑体" w:eastAsia="仿宋_GB2312"/>
          <w:color w:val="FF0000"/>
          <w:sz w:val="32"/>
          <w:szCs w:val="32"/>
          <w:lang w:val="en-US" w:eastAsia="zh-CN"/>
        </w:rPr>
      </w:pPr>
      <w:r>
        <w:rPr>
          <w:rFonts w:hint="eastAsia" w:ascii="仿宋_GB2312" w:hAnsi="黑体" w:eastAsia="仿宋_GB2312"/>
          <w:sz w:val="32"/>
          <w:szCs w:val="32"/>
          <w:lang w:val="en-US" w:eastAsia="zh-CN"/>
        </w:rPr>
        <w:t>2.</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行政事业单位养老支出（款）机关事业单位职业年金缴费支出（项）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13.69</w:t>
      </w:r>
      <w:r>
        <w:rPr>
          <w:rFonts w:hint="eastAsia" w:ascii="仿宋_GB2312" w:hAnsi="黑体" w:eastAsia="仿宋_GB2312"/>
          <w:sz w:val="32"/>
          <w:szCs w:val="32"/>
        </w:rPr>
        <w:t>万元，</w:t>
      </w:r>
      <w:r>
        <w:rPr>
          <w:rFonts w:hint="eastAsia" w:ascii="仿宋_GB2312" w:hAnsi="黑体" w:eastAsia="仿宋_GB2312"/>
          <w:sz w:val="32"/>
          <w:szCs w:val="32"/>
        </w:rPr>
        <w:t>上年预算数持平</w:t>
      </w:r>
      <w:r>
        <w:rPr>
          <w:rFonts w:hint="eastAsia" w:ascii="仿宋_GB2312" w:hAnsi="黑体"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黑体" w:eastAsia="仿宋_GB2312"/>
          <w:sz w:val="32"/>
          <w:szCs w:val="32"/>
          <w:lang w:val="en-US"/>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w:t>
      </w:r>
      <w:r>
        <w:rPr>
          <w:rFonts w:hint="eastAsia" w:ascii="仿宋_GB2312" w:hAnsi="黑体" w:eastAsia="仿宋_GB2312" w:cs="仿宋_GB2312"/>
          <w:sz w:val="32"/>
          <w:szCs w:val="32"/>
        </w:rPr>
        <w:t>卫生健康支出（类）行政事业单位医疗（款）行政单位医疗（项</w:t>
      </w:r>
      <w:r>
        <w:rPr>
          <w:rFonts w:hint="eastAsia" w:ascii="仿宋_GB2312" w:hAnsi="黑体" w:eastAsia="仿宋_GB2312"/>
          <w:sz w:val="32"/>
          <w:szCs w:val="32"/>
        </w:rPr>
        <w:t>）</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12.54</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0.82</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缴费基数调整。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卫生健康支出（类）行政事业单</w:t>
      </w:r>
      <w:r>
        <w:rPr>
          <w:rFonts w:hint="eastAsia" w:ascii="仿宋_GB2312" w:hAnsi="黑体" w:eastAsia="仿宋_GB2312" w:cs="仿宋_GB2312"/>
          <w:sz w:val="32"/>
          <w:szCs w:val="32"/>
        </w:rPr>
        <w:t>位医疗（款）</w:t>
      </w:r>
      <w:r>
        <w:rPr>
          <w:rFonts w:hint="eastAsia" w:ascii="仿宋_GB2312" w:hAnsi="黑体" w:eastAsia="仿宋_GB2312"/>
          <w:sz w:val="32"/>
          <w:szCs w:val="32"/>
        </w:rPr>
        <w:t>公务员医疗补助</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34.44</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增加0.19</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缴费基数变动，预算增加。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5.城乡社区支出</w:t>
      </w:r>
      <w:r>
        <w:rPr>
          <w:rFonts w:hint="eastAsia" w:ascii="仿宋_GB2312" w:hAnsi="黑体" w:eastAsia="仿宋_GB2312" w:cs="仿宋_GB2312"/>
          <w:sz w:val="32"/>
          <w:szCs w:val="32"/>
        </w:rPr>
        <w:t>（类）城乡社区管理事务（款）行政运行（项）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358.45</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w:t>
      </w:r>
      <w:r>
        <w:rPr>
          <w:rFonts w:hint="eastAsia" w:ascii="仿宋_GB2312" w:hAnsi="黑体" w:eastAsia="仿宋_GB2312" w:cs="仿宋_GB2312"/>
          <w:sz w:val="32"/>
          <w:szCs w:val="32"/>
          <w:lang w:val="en-US" w:eastAsia="zh-CN"/>
        </w:rPr>
        <w:t>2.53</w:t>
      </w:r>
      <w:r>
        <w:rPr>
          <w:rFonts w:hint="eastAsia" w:ascii="仿宋_GB2312" w:hAnsi="黑体" w:eastAsia="仿宋_GB2312"/>
          <w:sz w:val="32"/>
          <w:szCs w:val="32"/>
        </w:rPr>
        <w:t>万元，主要是津补贴</w:t>
      </w:r>
      <w:r>
        <w:rPr>
          <w:rFonts w:hint="eastAsia" w:ascii="仿宋_GB2312" w:hAnsi="黑体" w:eastAsia="仿宋_GB2312"/>
          <w:sz w:val="32"/>
          <w:szCs w:val="32"/>
          <w:lang w:val="en-US" w:eastAsia="zh-CN"/>
        </w:rPr>
        <w:t>及社保缴费基数</w:t>
      </w:r>
      <w:r>
        <w:rPr>
          <w:rFonts w:hint="eastAsia" w:ascii="仿宋_GB2312" w:hAnsi="黑体" w:eastAsia="仿宋_GB2312"/>
          <w:sz w:val="32"/>
          <w:szCs w:val="32"/>
        </w:rPr>
        <w:t>调整等原因，工资津补贴、社保等基本支出预算增加</w:t>
      </w:r>
      <w:r>
        <w:rPr>
          <w:rFonts w:hint="eastAsia" w:ascii="仿宋_GB2312" w:hAnsi="黑体" w:eastAsia="仿宋_GB2312"/>
          <w:sz w:val="32"/>
          <w:szCs w:val="32"/>
          <w:lang w:val="en-US"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6.城乡社区支出</w:t>
      </w:r>
      <w:r>
        <w:rPr>
          <w:rFonts w:hint="eastAsia" w:ascii="仿宋_GB2312" w:hAnsi="黑体" w:eastAsia="仿宋_GB2312" w:cs="仿宋_GB2312"/>
          <w:sz w:val="32"/>
          <w:szCs w:val="32"/>
        </w:rPr>
        <w:t>（类）城乡社区管理事务（款）</w:t>
      </w:r>
      <w:r>
        <w:rPr>
          <w:rFonts w:hint="eastAsia" w:ascii="仿宋_GB2312" w:hAnsi="黑体" w:eastAsia="仿宋_GB2312"/>
          <w:sz w:val="32"/>
          <w:szCs w:val="32"/>
        </w:rPr>
        <w:t>一般行政管理事务</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2874.67</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减少12.14</w:t>
      </w:r>
      <w:r>
        <w:rPr>
          <w:rFonts w:hint="eastAsia" w:ascii="仿宋_GB2312" w:hAnsi="黑体" w:eastAsia="仿宋_GB2312"/>
          <w:sz w:val="32"/>
          <w:szCs w:val="32"/>
        </w:rPr>
        <w:t>万元，主要</w:t>
      </w:r>
      <w:r>
        <w:rPr>
          <w:rFonts w:hint="eastAsia" w:ascii="仿宋_GB2312" w:hAnsi="黑体" w:eastAsia="仿宋_GB2312"/>
          <w:sz w:val="32"/>
          <w:szCs w:val="32"/>
          <w:lang w:val="en-US" w:eastAsia="zh-CN"/>
        </w:rPr>
        <w:t>是本年度项目预算缩减</w:t>
      </w:r>
      <w:r>
        <w:rPr>
          <w:rFonts w:hint="eastAsia" w:ascii="仿宋_GB2312" w:hAnsi="黑体" w:eastAsia="仿宋_GB2312"/>
          <w:color w:val="auto"/>
          <w:sz w:val="32"/>
          <w:szCs w:val="32"/>
          <w:lang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7.城乡社区支出</w:t>
      </w:r>
      <w:r>
        <w:rPr>
          <w:rFonts w:hint="eastAsia" w:ascii="仿宋_GB2312" w:hAnsi="黑体" w:eastAsia="仿宋_GB2312" w:cs="仿宋_GB2312"/>
          <w:sz w:val="32"/>
          <w:szCs w:val="32"/>
        </w:rPr>
        <w:t>（类）城乡社区管理事务（款）</w:t>
      </w:r>
      <w:r>
        <w:rPr>
          <w:rFonts w:hint="eastAsia" w:ascii="仿宋_GB2312" w:hAnsi="黑体" w:eastAsia="仿宋_GB2312"/>
          <w:sz w:val="32"/>
          <w:szCs w:val="32"/>
        </w:rPr>
        <w:t>城管执法</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271.65</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w:t>
      </w:r>
      <w:r>
        <w:rPr>
          <w:rFonts w:hint="eastAsia" w:ascii="仿宋_GB2312" w:hAnsi="黑体" w:eastAsia="仿宋_GB2312" w:cs="仿宋_GB2312"/>
          <w:sz w:val="32"/>
          <w:szCs w:val="32"/>
          <w:lang w:val="en-US" w:eastAsia="zh-CN"/>
        </w:rPr>
        <w:t>194.7</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执法办案及城市管理综合整治项目预算增加。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8.住房保障支出</w:t>
      </w:r>
      <w:r>
        <w:rPr>
          <w:rFonts w:hint="eastAsia" w:ascii="仿宋_GB2312" w:hAnsi="黑体" w:eastAsia="仿宋_GB2312" w:cs="仿宋_GB2312"/>
          <w:sz w:val="32"/>
          <w:szCs w:val="32"/>
        </w:rPr>
        <w:t>（类）住房改革支出（款）住房公积金（项）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24.62</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w:t>
      </w:r>
      <w:r>
        <w:rPr>
          <w:rFonts w:hint="eastAsia" w:ascii="仿宋_GB2312" w:hAnsi="黑体" w:eastAsia="仿宋_GB2312" w:cs="仿宋_GB2312"/>
          <w:sz w:val="32"/>
          <w:szCs w:val="32"/>
          <w:lang w:val="en-US" w:eastAsia="zh-CN"/>
        </w:rPr>
        <w:t>0.60</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缴费基数调整，预算增加。</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黑体" w:hAnsi="黑体" w:eastAsia="黑体"/>
          <w:b w:val="0"/>
          <w:bCs w:val="0"/>
          <w:color w:val="auto"/>
          <w:sz w:val="32"/>
          <w:szCs w:val="32"/>
          <w:highlight w:val="none"/>
        </w:rPr>
      </w:pPr>
      <w:r>
        <w:rPr>
          <w:rFonts w:hint="eastAsia" w:ascii="黑体" w:hAnsi="黑体" w:eastAsia="黑体"/>
          <w:b w:val="0"/>
          <w:bCs w:val="0"/>
          <w:color w:val="auto"/>
          <w:sz w:val="32"/>
          <w:szCs w:val="32"/>
          <w:highlight w:val="none"/>
        </w:rPr>
        <w:t>三、关于</w:t>
      </w:r>
      <w:r>
        <w:rPr>
          <w:rFonts w:hint="eastAsia" w:ascii="黑体" w:hAnsi="黑体" w:eastAsia="黑体"/>
          <w:b w:val="0"/>
          <w:bCs w:val="0"/>
          <w:color w:val="auto"/>
          <w:sz w:val="32"/>
          <w:szCs w:val="32"/>
          <w:highlight w:val="none"/>
          <w:lang w:eastAsia="zh-CN"/>
        </w:rPr>
        <w:t>海口市综合行政执法局秀英分局本级单位</w:t>
      </w:r>
      <w:r>
        <w:rPr>
          <w:rFonts w:hint="eastAsia" w:ascii="黑体" w:hAnsi="黑体" w:eastAsia="黑体"/>
          <w:b w:val="0"/>
          <w:bCs w:val="0"/>
          <w:color w:val="auto"/>
          <w:sz w:val="32"/>
          <w:szCs w:val="32"/>
          <w:highlight w:val="none"/>
          <w:lang w:val="en-US" w:eastAsia="zh-CN"/>
        </w:rPr>
        <w:t>2024</w:t>
      </w:r>
      <w:r>
        <w:rPr>
          <w:rFonts w:hint="eastAsia" w:ascii="黑体" w:hAnsi="黑体" w:eastAsia="黑体"/>
          <w:b w:val="0"/>
          <w:bCs w:val="0"/>
          <w:color w:val="auto"/>
          <w:sz w:val="32"/>
          <w:szCs w:val="32"/>
          <w:highlight w:val="none"/>
        </w:rPr>
        <w:t>年一般公共预算基本支出情况说明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黑体" w:eastAsia="仿宋_GB2312"/>
          <w:sz w:val="32"/>
          <w:szCs w:val="32"/>
        </w:rPr>
      </w:pPr>
      <w:r>
        <w:rPr>
          <w:rFonts w:hint="eastAsia" w:ascii="仿宋_GB2312" w:hAnsi="黑体" w:eastAsia="仿宋_GB2312"/>
          <w:sz w:val="32"/>
          <w:szCs w:val="32"/>
          <w:lang w:eastAsia="zh-CN"/>
        </w:rPr>
        <w:t>海口市综合行政执法局秀英分局本级单位</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471.12</w:t>
      </w:r>
      <w:r>
        <w:rPr>
          <w:rFonts w:hint="eastAsia" w:ascii="仿宋_GB2312" w:hAnsi="黑体" w:eastAsia="仿宋_GB2312"/>
          <w:sz w:val="32"/>
          <w:szCs w:val="32"/>
        </w:rPr>
        <w:t>万元，其中：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黑体" w:eastAsia="仿宋_GB2312"/>
          <w:sz w:val="32"/>
          <w:szCs w:val="32"/>
          <w:lang w:val="en-US" w:eastAsia="zh-CN"/>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339.73</w:t>
      </w:r>
      <w:r>
        <w:rPr>
          <w:rFonts w:hint="eastAsia" w:ascii="仿宋_GB2312" w:hAnsi="黑体" w:eastAsia="仿宋_GB2312"/>
          <w:sz w:val="32"/>
          <w:szCs w:val="32"/>
        </w:rPr>
        <w:t>万元，主要包括：主要包括：基本工资、津贴补贴、奖金、</w:t>
      </w:r>
      <w:r>
        <w:rPr>
          <w:rFonts w:hint="eastAsia" w:ascii="仿宋_GB2312" w:hAnsi="黑体" w:eastAsia="仿宋_GB2312"/>
          <w:sz w:val="32"/>
          <w:szCs w:val="32"/>
          <w:lang w:eastAsia="zh-CN"/>
        </w:rPr>
        <w:t>绩效工资、</w:t>
      </w:r>
      <w:r>
        <w:rPr>
          <w:rFonts w:hint="eastAsia" w:ascii="仿宋_GB2312" w:hAnsi="黑体" w:eastAsia="仿宋_GB2312"/>
          <w:sz w:val="32"/>
          <w:szCs w:val="32"/>
        </w:rPr>
        <w:t>社会保障缴费、</w:t>
      </w:r>
      <w:r>
        <w:rPr>
          <w:rFonts w:hint="eastAsia" w:ascii="仿宋_GB2312" w:hAnsi="黑体" w:eastAsia="仿宋_GB2312"/>
          <w:sz w:val="32"/>
          <w:szCs w:val="32"/>
          <w:lang w:eastAsia="zh-CN"/>
        </w:rPr>
        <w:t>基本养老保险、职业年金、住房公积金</w:t>
      </w:r>
      <w:r>
        <w:rPr>
          <w:rFonts w:hint="eastAsia" w:ascii="仿宋_GB2312" w:hAnsi="黑体" w:eastAsia="仿宋_GB2312"/>
          <w:sz w:val="32"/>
          <w:szCs w:val="32"/>
          <w:lang w:val="en-US" w:eastAsia="zh-CN"/>
        </w:rPr>
        <w:t>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131.39</w:t>
      </w:r>
      <w:r>
        <w:rPr>
          <w:rFonts w:hint="eastAsia" w:ascii="仿宋_GB2312" w:hAnsi="黑体" w:eastAsia="仿宋_GB2312"/>
          <w:sz w:val="32"/>
          <w:szCs w:val="32"/>
        </w:rPr>
        <w:t>万元，主要包括：办公费、咨询费、手续费、水费、电费、</w:t>
      </w:r>
      <w:r>
        <w:rPr>
          <w:rFonts w:hint="eastAsia" w:ascii="仿宋_GB2312" w:hAnsi="黑体" w:eastAsia="仿宋_GB2312"/>
          <w:sz w:val="32"/>
          <w:szCs w:val="32"/>
          <w:lang w:eastAsia="zh-CN"/>
        </w:rPr>
        <w:t>劳务费、</w:t>
      </w:r>
      <w:r>
        <w:rPr>
          <w:rFonts w:hint="eastAsia" w:ascii="仿宋_GB2312" w:hAnsi="黑体" w:eastAsia="仿宋_GB2312"/>
          <w:sz w:val="32"/>
          <w:szCs w:val="32"/>
          <w:lang w:val="en-US" w:eastAsia="zh-CN"/>
        </w:rPr>
        <w:t>工会经费、</w:t>
      </w:r>
      <w:r>
        <w:rPr>
          <w:rFonts w:hint="eastAsia" w:ascii="仿宋_GB2312" w:hAnsi="黑体" w:eastAsia="仿宋_GB2312"/>
          <w:sz w:val="32"/>
          <w:szCs w:val="32"/>
          <w:lang w:eastAsia="zh-CN"/>
        </w:rPr>
        <w:t>公务车运行维护费</w:t>
      </w:r>
      <w:r>
        <w:rPr>
          <w:rFonts w:hint="eastAsia" w:ascii="仿宋_GB2312" w:hAnsi="黑体" w:eastAsia="仿宋_GB2312"/>
          <w:sz w:val="32"/>
          <w:szCs w:val="32"/>
          <w:lang w:val="en-US" w:eastAsia="zh-CN"/>
        </w:rPr>
        <w:t>等</w:t>
      </w:r>
      <w:r>
        <w:rPr>
          <w:rFonts w:hint="eastAsia" w:ascii="仿宋_GB2312" w:hAnsi="黑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Times New Roman"/>
          <w:sz w:val="32"/>
          <w:highlight w:val="none"/>
          <w:shd w:val="clear" w:color="auto" w:fill="FFFFFF"/>
        </w:rPr>
      </w:pPr>
      <w:r>
        <w:rPr>
          <w:rFonts w:hint="eastAsia" w:ascii="黑体" w:hAnsi="黑体" w:eastAsia="黑体" w:cs="Times New Roman"/>
          <w:sz w:val="32"/>
          <w:highlight w:val="none"/>
          <w:shd w:val="clear" w:color="auto" w:fill="FFFFFF"/>
        </w:rPr>
        <w:t>四、</w:t>
      </w:r>
      <w:r>
        <w:rPr>
          <w:rFonts w:hint="eastAsia" w:ascii="黑体" w:hAnsi="黑体" w:eastAsia="黑体"/>
          <w:sz w:val="32"/>
          <w:szCs w:val="32"/>
          <w:highlight w:val="none"/>
          <w:lang w:eastAsia="zh-CN"/>
        </w:rPr>
        <w:t>海口市综合行政执法局秀英分局本级单位</w:t>
      </w:r>
      <w:r>
        <w:rPr>
          <w:rFonts w:hint="eastAsia" w:ascii="黑体" w:hAnsi="黑体" w:eastAsia="黑体"/>
          <w:sz w:val="32"/>
          <w:szCs w:val="32"/>
          <w:highlight w:val="none"/>
          <w:lang w:val="en-US" w:eastAsia="zh-CN"/>
        </w:rPr>
        <w:t>2024</w:t>
      </w:r>
      <w:r>
        <w:rPr>
          <w:rFonts w:ascii="黑体" w:hAnsi="黑体" w:eastAsia="黑体" w:cs="Times New Roman"/>
          <w:sz w:val="32"/>
          <w:highlight w:val="none"/>
          <w:shd w:val="clear" w:color="auto" w:fill="FFFFFF"/>
        </w:rPr>
        <w:t>年“三公”经费预算情况</w:t>
      </w:r>
      <w:r>
        <w:rPr>
          <w:rFonts w:hint="eastAsia" w:ascii="黑体" w:hAnsi="黑体" w:eastAsia="黑体" w:cs="Times New Roman"/>
          <w:sz w:val="32"/>
          <w:highlight w:val="none"/>
          <w:shd w:val="clear" w:color="auto" w:fill="FFFFFF"/>
        </w:rPr>
        <w:t>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海口市综合行政执法局秀英分局本级单位</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84.50</w:t>
      </w:r>
      <w:r>
        <w:rPr>
          <w:rFonts w:hint="eastAsia" w:ascii="仿宋_GB2312" w:hAnsi="黑体" w:eastAsia="仿宋_GB2312"/>
          <w:sz w:val="32"/>
          <w:szCs w:val="32"/>
        </w:rPr>
        <w:t>万元，其中：</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lang w:val="en-US" w:eastAsia="zh-CN"/>
        </w:rPr>
        <w:t>主要原因是无此项预算安排</w:t>
      </w:r>
      <w:r>
        <w:rPr>
          <w:rFonts w:hint="eastAsia" w:ascii="Times New Roman" w:hAnsi="Times New Roman" w:eastAsia="仿宋_GB2312" w:cs="Times New Roman"/>
          <w:sz w:val="32"/>
          <w:shd w:val="clear" w:color="auto" w:fill="FFFFFF"/>
          <w:lang w:eastAsia="zh-CN"/>
        </w:rPr>
        <w:t>；本年度无</w:t>
      </w:r>
      <w:r>
        <w:rPr>
          <w:rFonts w:ascii="Times New Roman" w:hAnsi="Times New Roman" w:eastAsia="仿宋_GB2312" w:cs="Times New Roman"/>
          <w:sz w:val="32"/>
          <w:shd w:val="clear" w:color="auto" w:fill="FFFFFF"/>
        </w:rPr>
        <w:t>出国计划</w:t>
      </w:r>
      <w:r>
        <w:rPr>
          <w:rFonts w:hint="eastAsia" w:ascii="Times New Roman" w:hAnsi="Times New Roman" w:eastAsia="仿宋_GB2312" w:cs="Times New Roman"/>
          <w:sz w:val="32"/>
          <w:shd w:val="clear" w:color="auto" w:fill="FFFFFF"/>
          <w:lang w:eastAsia="zh-CN"/>
        </w:rPr>
        <w:t>安排；</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84.50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84.50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lang w:val="en-US" w:eastAsia="zh-CN"/>
        </w:rPr>
        <w:t>主要原因是车辆及预算标准不变</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公务车保有量</w:t>
      </w:r>
      <w:r>
        <w:rPr>
          <w:rFonts w:hint="eastAsia" w:ascii="Times New Roman" w:hAnsi="Times New Roman" w:eastAsia="仿宋_GB2312" w:cs="Times New Roman"/>
          <w:sz w:val="32"/>
          <w:shd w:val="clear" w:color="auto" w:fill="FFFFFF"/>
          <w:lang w:val="en-US" w:eastAsia="zh-CN"/>
        </w:rPr>
        <w:t>25</w:t>
      </w:r>
      <w:r>
        <w:rPr>
          <w:rFonts w:hint="eastAsia" w:ascii="Times New Roman" w:hAnsi="Times New Roman" w:eastAsia="仿宋_GB2312" w:cs="Times New Roman"/>
          <w:sz w:val="32"/>
          <w:shd w:val="clear" w:color="auto" w:fill="FFFFFF"/>
        </w:rPr>
        <w:t>辆，计划购置</w:t>
      </w:r>
      <w:r>
        <w:rPr>
          <w:rFonts w:hint="eastAsia" w:ascii="Times New Roman" w:hAnsi="Times New Roman" w:eastAsia="仿宋_GB2312" w:cs="Times New Roman"/>
          <w:sz w:val="32"/>
          <w:shd w:val="clear" w:color="auto" w:fill="FFFFFF"/>
          <w:lang w:val="en-US" w:eastAsia="zh-CN"/>
        </w:rPr>
        <w:t>0</w:t>
      </w:r>
      <w:r>
        <w:rPr>
          <w:rFonts w:hint="eastAsia" w:ascii="Times New Roman" w:hAnsi="Times New Roman" w:eastAsia="仿宋_GB2312" w:cs="Times New Roman"/>
          <w:sz w:val="32"/>
          <w:shd w:val="clear" w:color="auto" w:fill="FFFFFF"/>
        </w:rPr>
        <w:t>辆；公务接待费</w:t>
      </w:r>
      <w:r>
        <w:rPr>
          <w:rFonts w:hint="eastAsia" w:ascii="Times New Roman" w:hAnsi="Times New Roman" w:eastAsia="仿宋_GB2312" w:cs="Times New Roman"/>
          <w:sz w:val="32"/>
          <w:shd w:val="clear" w:color="auto" w:fill="FFFFFF"/>
          <w:lang w:val="en-US" w:eastAsia="zh-CN"/>
        </w:rPr>
        <w:t>0</w:t>
      </w:r>
      <w:r>
        <w:rPr>
          <w:rFonts w:hint="eastAsia" w:ascii="Times New Roman" w:hAnsi="Times New Roman" w:eastAsia="仿宋_GB2312" w:cs="Times New Roman"/>
          <w:sz w:val="32"/>
          <w:shd w:val="clear" w:color="auto" w:fill="FFFFFF"/>
        </w:rPr>
        <w:t>万元，与上年预算持平</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lang w:val="en-US" w:eastAsia="zh-CN"/>
        </w:rPr>
        <w:t>主要原因是无此项预算安排</w:t>
      </w:r>
      <w:r>
        <w:rPr>
          <w:rFonts w:hint="eastAsia" w:ascii="Times New Roman" w:hAnsi="Times New Roman" w:eastAsia="仿宋_GB2312" w:cs="Times New Roman"/>
          <w:sz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val="en-US" w:eastAsia="zh-CN"/>
        </w:rPr>
        <w:t>海口市综合行政执法局秀英分局本级单位2024年政府性基金预算“三公”经费预算数为0万元，其中：</w:t>
      </w:r>
    </w:p>
    <w:p>
      <w:pPr>
        <w:spacing w:line="560" w:lineRule="exact"/>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w:t>
      </w:r>
      <w:r>
        <w:rPr>
          <w:rFonts w:ascii="Times New Roman" w:hAnsi="Times New Roman" w:eastAsia="仿宋_GB2312" w:cs="Times New Roman"/>
          <w:sz w:val="32"/>
          <w:shd w:val="clear" w:color="auto" w:fill="FFFFFF"/>
        </w:rPr>
        <w:t xml:space="preserve"> 因公出国（境）经费</w:t>
      </w:r>
      <w:r>
        <w:rPr>
          <w:rFonts w:hint="eastAsia" w:ascii="Times New Roman" w:hAnsi="Times New Roman" w:eastAsia="仿宋_GB2312" w:cs="Times New Roman"/>
          <w:sz w:val="32"/>
          <w:shd w:val="clear" w:color="auto" w:fill="FFFFFF"/>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年预算持平。公务用车购置及运行费</w:t>
      </w:r>
      <w:r>
        <w:rPr>
          <w:rFonts w:hint="eastAsia" w:ascii="Times New Roman" w:hAnsi="Times New Roman" w:eastAsia="仿宋_GB2312" w:cs="Times New Roman"/>
          <w:sz w:val="32"/>
          <w:shd w:val="clear" w:color="auto" w:fill="FFFFFF"/>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Times New Roman" w:hAnsi="Times New Roman" w:eastAsia="仿宋_GB2312" w:cs="Times New Roman"/>
          <w:sz w:val="32"/>
          <w:shd w:val="clear" w:color="auto" w:fill="FFFFFF"/>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公务车保有量0</w:t>
      </w:r>
      <w:r>
        <w:rPr>
          <w:rFonts w:hint="eastAsia" w:ascii="仿宋_GB2312" w:hAnsi="黑体" w:eastAsia="仿宋_GB2312" w:cs="仿宋_GB2312"/>
          <w:sz w:val="32"/>
          <w:szCs w:val="32"/>
        </w:rPr>
        <w:t>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Times New Roman"/>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。计划接待0</w:t>
      </w:r>
      <w:r>
        <w:rPr>
          <w:rFonts w:hint="eastAsia" w:ascii="仿宋_GB2312" w:hAnsi="黑体" w:eastAsia="仿宋_GB2312" w:cs="仿宋_GB2312"/>
          <w:sz w:val="32"/>
          <w:szCs w:val="32"/>
        </w:rPr>
        <w:t>批0人</w:t>
      </w:r>
      <w:r>
        <w:rPr>
          <w:rFonts w:hint="eastAsia" w:ascii="Times New Roman" w:hAnsi="Times New Roman" w:eastAsia="仿宋_GB2312" w:cs="Times New Roman"/>
          <w:sz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w:t>
      </w:r>
      <w:r>
        <w:rPr>
          <w:rFonts w:hint="eastAsia" w:ascii="黑体" w:hAnsi="黑体" w:eastAsia="黑体"/>
          <w:sz w:val="32"/>
          <w:szCs w:val="32"/>
          <w:highlight w:val="none"/>
          <w:lang w:eastAsia="zh-CN"/>
        </w:rPr>
        <w:t>海口市综合行政执法局秀英分局本级单位</w:t>
      </w:r>
      <w:r>
        <w:rPr>
          <w:rFonts w:hint="eastAsia" w:ascii="黑体" w:hAnsi="黑体" w:eastAsia="黑体"/>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ascii="楷体" w:hAnsi="楷体" w:eastAsia="楷体"/>
          <w:sz w:val="32"/>
          <w:szCs w:val="32"/>
        </w:rPr>
      </w:pPr>
      <w:r>
        <w:rPr>
          <w:rFonts w:hint="eastAsia" w:ascii="楷体" w:hAnsi="楷体" w:eastAsia="楷体"/>
          <w:sz w:val="32"/>
          <w:szCs w:val="32"/>
        </w:rPr>
        <w:t>（一）政府性基金预算当年规模变化情况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黑体" w:eastAsia="仿宋_GB2312"/>
          <w:sz w:val="32"/>
          <w:szCs w:val="32"/>
          <w:lang w:val="en-US" w:eastAsia="zh-CN"/>
        </w:rPr>
      </w:pPr>
      <w:r>
        <w:rPr>
          <w:rFonts w:hint="eastAsia" w:ascii="仿宋_GB2312" w:hAnsi="黑体" w:eastAsia="仿宋_GB2312"/>
          <w:sz w:val="32"/>
          <w:szCs w:val="32"/>
          <w:lang w:eastAsia="zh-CN"/>
        </w:rPr>
        <w:t>海口市综合行政执法局秀英分局本级单位</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年政府性基金预算当年拨款</w:t>
      </w:r>
      <w:r>
        <w:rPr>
          <w:rFonts w:hint="eastAsia" w:ascii="仿宋_GB2312" w:hAnsi="黑体" w:eastAsia="仿宋_GB2312"/>
          <w:sz w:val="32"/>
          <w:szCs w:val="32"/>
          <w:lang w:val="en-US" w:eastAsia="zh-CN"/>
        </w:rPr>
        <w:t>320.00</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增加109.91</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w:t>
      </w:r>
      <w:r>
        <w:rPr>
          <w:rFonts w:hint="eastAsia" w:ascii="仿宋_GB2312" w:hAnsi="黑体" w:eastAsia="仿宋_GB2312"/>
          <w:sz w:val="32"/>
          <w:szCs w:val="32"/>
          <w:lang w:val="en-US" w:eastAsia="zh-CN"/>
        </w:rPr>
        <w:t>本年度市级拨付违法建筑整治工作经费增加。</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ascii="楷体" w:hAnsi="楷体" w:eastAsia="楷体"/>
          <w:sz w:val="32"/>
          <w:szCs w:val="32"/>
        </w:rPr>
      </w:pPr>
      <w:r>
        <w:rPr>
          <w:rFonts w:hint="eastAsia" w:ascii="楷体" w:hAnsi="楷体" w:eastAsia="楷体"/>
          <w:sz w:val="32"/>
          <w:szCs w:val="32"/>
        </w:rPr>
        <w:t>（二）政府性基金预算当年拨款结构情况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sz w:val="32"/>
          <w:szCs w:val="32"/>
          <w:lang w:eastAsia="zh-CN"/>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val="en-US" w:eastAsia="zh-CN"/>
        </w:rPr>
        <w:t>城乡社区</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320.00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100</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楷体" w:hAnsi="楷体" w:eastAsia="楷体"/>
          <w:sz w:val="32"/>
          <w:szCs w:val="32"/>
        </w:rPr>
      </w:pPr>
      <w:r>
        <w:rPr>
          <w:rFonts w:hint="eastAsia" w:ascii="楷体" w:hAnsi="楷体" w:eastAsia="楷体"/>
          <w:sz w:val="32"/>
          <w:szCs w:val="32"/>
        </w:rPr>
        <w:t>（三）政府性基金预算当年拨款具体使用情况</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eastAsia="zh-CN"/>
        </w:rPr>
        <w:t>城乡社区支出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国有土地使用权出让收入安排的支出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其他国有土地使用权出让收入安排的支出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320.00</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增加110</w:t>
      </w:r>
      <w:r>
        <w:rPr>
          <w:rFonts w:hint="eastAsia" w:ascii="仿宋_GB2312" w:hAnsi="黑体" w:eastAsia="仿宋_GB2312"/>
          <w:sz w:val="32"/>
          <w:szCs w:val="32"/>
        </w:rPr>
        <w:t>万元，</w:t>
      </w:r>
      <w:r>
        <w:rPr>
          <w:rFonts w:hint="eastAsia" w:ascii="仿宋_GB2312" w:hAnsi="黑体" w:eastAsia="仿宋_GB2312" w:cs="仿宋_GB2312"/>
          <w:sz w:val="32"/>
          <w:szCs w:val="32"/>
          <w:lang w:val="en-US" w:eastAsia="zh-CN"/>
        </w:rPr>
        <w:t>主要是本年度市级拨付违法建筑整治工作经费预算320万元，较上年增加110万。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w:t>
      </w:r>
      <w:r>
        <w:rPr>
          <w:rFonts w:hint="eastAsia" w:ascii="黑体" w:hAnsi="黑体" w:eastAsia="黑体"/>
          <w:sz w:val="32"/>
          <w:szCs w:val="32"/>
          <w:highlight w:val="none"/>
          <w:lang w:eastAsia="zh-CN"/>
        </w:rPr>
        <w:t>海口市综合行政执法局秀英分局本级单位</w:t>
      </w:r>
      <w:r>
        <w:rPr>
          <w:rFonts w:hint="eastAsia" w:ascii="黑体" w:hAnsi="黑体" w:eastAsia="黑体"/>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keepNext w:val="0"/>
        <w:keepLines w:val="0"/>
        <w:pageBreakBefore w:val="0"/>
        <w:widowControl w:val="0"/>
        <w:kinsoku/>
        <w:wordWrap/>
        <w:overflowPunct/>
        <w:topLinePunct w:val="0"/>
        <w:autoSpaceDE/>
        <w:autoSpaceDN/>
        <w:bidi w:val="0"/>
        <w:adjustRightInd/>
        <w:snapToGrid/>
        <w:spacing w:line="560" w:lineRule="exact"/>
        <w:ind w:firstLine="800" w:firstLineChars="250"/>
        <w:textAlignment w:val="auto"/>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海口市综合行政执法局秀英分局本级单位</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cs="仿宋_GB2312"/>
          <w:sz w:val="32"/>
          <w:szCs w:val="32"/>
          <w:lang w:val="en-US" w:eastAsia="zh-CN"/>
        </w:rPr>
        <w:t>政府性基金预算拨款收入</w:t>
      </w:r>
      <w:r>
        <w:rPr>
          <w:rFonts w:hint="eastAsia" w:ascii="仿宋_GB2312" w:hAnsi="黑体" w:eastAsia="仿宋_GB2312"/>
          <w:sz w:val="32"/>
          <w:szCs w:val="32"/>
        </w:rPr>
        <w:t>；支出包括：</w:t>
      </w:r>
      <w:r>
        <w:rPr>
          <w:rFonts w:hint="eastAsia" w:ascii="仿宋_GB2312" w:hAnsi="黑体" w:eastAsia="仿宋_GB2312"/>
          <w:sz w:val="32"/>
          <w:szCs w:val="32"/>
          <w:lang w:eastAsia="zh-CN"/>
        </w:rPr>
        <w:t>社会保险和就业支出、卫生健康支出、城乡社区支出</w:t>
      </w:r>
      <w:r>
        <w:rPr>
          <w:rFonts w:hint="eastAsia" w:ascii="仿宋_GB2312" w:hAnsi="黑体" w:eastAsia="仿宋_GB2312"/>
          <w:sz w:val="32"/>
          <w:szCs w:val="32"/>
          <w:lang w:val="en-US" w:eastAsia="zh-CN"/>
        </w:rPr>
        <w:t>、住房保障支出等</w:t>
      </w:r>
      <w:r>
        <w:rPr>
          <w:rFonts w:hint="eastAsia" w:ascii="仿宋_GB2312" w:hAnsi="黑体" w:eastAsia="仿宋_GB2312"/>
          <w:sz w:val="32"/>
          <w:szCs w:val="32"/>
          <w:lang w:eastAsia="zh-CN"/>
        </w:rPr>
        <w:t>。</w:t>
      </w:r>
      <w:r>
        <w:rPr>
          <w:rFonts w:hint="eastAsia" w:ascii="仿宋_GB2312" w:hAnsi="黑体" w:eastAsia="仿宋_GB2312" w:cs="仿宋_GB2312"/>
          <w:sz w:val="32"/>
          <w:szCs w:val="32"/>
          <w:lang w:eastAsia="zh-CN"/>
        </w:rPr>
        <w:t>海口市综合行政执法局秀英分局本级单位</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3937.44</w:t>
      </w:r>
      <w:r>
        <w:rPr>
          <w:rFonts w:hint="eastAsia" w:ascii="仿宋_GB2312" w:hAnsi="黑体" w:eastAsia="仿宋_GB2312"/>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highlight w:val="none"/>
          <w:lang w:eastAsia="zh-CN"/>
        </w:rPr>
        <w:t>海口市综合行政执法局秀英分局本级单位</w:t>
      </w:r>
      <w:r>
        <w:rPr>
          <w:rFonts w:hint="eastAsia" w:ascii="黑体" w:hAnsi="黑体" w:eastAsia="黑体"/>
          <w:sz w:val="32"/>
          <w:szCs w:val="32"/>
          <w:highlight w:val="none"/>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黑体" w:eastAsia="仿宋_GB2312"/>
          <w:sz w:val="32"/>
          <w:szCs w:val="32"/>
          <w:lang w:val="en-US" w:eastAsia="zh-CN"/>
        </w:rPr>
      </w:pPr>
      <w:r>
        <w:rPr>
          <w:rFonts w:hint="eastAsia" w:ascii="仿宋_GB2312" w:hAnsi="黑体" w:eastAsia="仿宋_GB2312"/>
          <w:sz w:val="32"/>
          <w:szCs w:val="32"/>
          <w:lang w:eastAsia="zh-CN"/>
        </w:rPr>
        <w:t>海口市综合行政执法局秀英分局本级单位</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3937.44</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3617.44</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91.87</w:t>
      </w:r>
      <w:r>
        <w:rPr>
          <w:rFonts w:hint="eastAsia" w:ascii="仿宋_GB2312" w:hAnsi="黑体" w:eastAsia="仿宋_GB2312"/>
          <w:sz w:val="32"/>
          <w:szCs w:val="32"/>
        </w:rPr>
        <w:t>%；</w:t>
      </w:r>
      <w:r>
        <w:rPr>
          <w:rFonts w:hint="eastAsia" w:ascii="仿宋_GB2312" w:hAnsi="黑体" w:eastAsia="仿宋_GB2312"/>
          <w:sz w:val="32"/>
          <w:szCs w:val="32"/>
          <w:lang w:val="en-US" w:eastAsia="zh-CN"/>
        </w:rPr>
        <w:t>政府性资金收入320.00万元，占8.13</w:t>
      </w:r>
      <w:r>
        <w:rPr>
          <w:rFonts w:hint="eastAsia" w:ascii="仿宋_GB2312" w:hAnsi="黑体" w:eastAsia="仿宋_GB2312"/>
          <w:sz w:val="32"/>
          <w:szCs w:val="32"/>
        </w:rPr>
        <w:t>%。比上年预算数</w:t>
      </w:r>
      <w:r>
        <w:rPr>
          <w:rFonts w:hint="eastAsia" w:ascii="仿宋_GB2312" w:hAnsi="黑体" w:eastAsia="仿宋_GB2312"/>
          <w:sz w:val="32"/>
          <w:szCs w:val="32"/>
          <w:lang w:val="en-US" w:eastAsia="zh-CN"/>
        </w:rPr>
        <w:t>增加</w:t>
      </w:r>
      <w:r>
        <w:rPr>
          <w:rFonts w:hint="eastAsia" w:ascii="仿宋_GB2312" w:hAnsi="黑体" w:eastAsia="仿宋_GB2312" w:cs="仿宋_GB2312"/>
          <w:sz w:val="32"/>
          <w:szCs w:val="32"/>
          <w:lang w:val="en-US" w:eastAsia="zh-CN"/>
        </w:rPr>
        <w:t>297.96</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主要是本年度增加城市管理综合整治项目预算收入。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highlight w:val="none"/>
          <w:lang w:eastAsia="zh-CN"/>
        </w:rPr>
        <w:t>海口市综合行政执法局秀英分局本级单位</w:t>
      </w:r>
      <w:r>
        <w:rPr>
          <w:rFonts w:hint="eastAsia" w:ascii="黑体" w:hAnsi="黑体" w:eastAsia="黑体"/>
          <w:sz w:val="32"/>
          <w:szCs w:val="32"/>
          <w:highlight w:val="none"/>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黑体" w:eastAsia="仿宋_GB2312"/>
          <w:sz w:val="32"/>
          <w:szCs w:val="32"/>
        </w:rPr>
      </w:pPr>
      <w:r>
        <w:rPr>
          <w:rFonts w:hint="eastAsia" w:ascii="仿宋_GB2312" w:hAnsi="黑体" w:eastAsia="仿宋_GB2312"/>
          <w:sz w:val="32"/>
          <w:szCs w:val="32"/>
          <w:lang w:eastAsia="zh-CN"/>
        </w:rPr>
        <w:t>海口市综合行政执法局秀英分局本级单位</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年支出预算</w:t>
      </w:r>
      <w:r>
        <w:rPr>
          <w:rFonts w:hint="eastAsia" w:ascii="仿宋_GB2312" w:hAnsi="黑体" w:eastAsia="仿宋_GB2312"/>
          <w:sz w:val="32"/>
          <w:szCs w:val="32"/>
          <w:lang w:val="en-US" w:eastAsia="zh-CN"/>
        </w:rPr>
        <w:t>3937.44</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471.12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11.97</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3466.32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88.03</w:t>
      </w:r>
      <w:r>
        <w:rPr>
          <w:rFonts w:hint="eastAsia" w:ascii="仿宋_GB2312" w:hAnsi="黑体" w:eastAsia="仿宋_GB2312"/>
          <w:sz w:val="32"/>
          <w:szCs w:val="32"/>
        </w:rPr>
        <w:t>%。比上年预算数</w:t>
      </w:r>
      <w:r>
        <w:rPr>
          <w:rFonts w:hint="eastAsia" w:ascii="仿宋_GB2312" w:hAnsi="黑体" w:eastAsia="仿宋_GB2312"/>
          <w:sz w:val="32"/>
          <w:szCs w:val="32"/>
          <w:lang w:val="en-US" w:eastAsia="zh-CN"/>
        </w:rPr>
        <w:t>增加297.96</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主要是增加城市管理综合整治项目支出预算</w:t>
      </w:r>
      <w:r>
        <w:rPr>
          <w:rFonts w:hint="eastAsia" w:ascii="仿宋_GB2312" w:hAnsi="黑体" w:eastAsia="仿宋_GB2312"/>
          <w:color w:val="FF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Times New Roman"/>
          <w:sz w:val="32"/>
          <w:highlight w:val="none"/>
          <w:shd w:val="clear" w:color="auto" w:fill="FFFFFF"/>
        </w:rPr>
      </w:pPr>
      <w:r>
        <w:rPr>
          <w:rFonts w:hint="eastAsia" w:ascii="黑体" w:hAnsi="黑体" w:eastAsia="黑体" w:cs="Times New Roman"/>
          <w:sz w:val="32"/>
          <w:highlight w:val="none"/>
          <w:shd w:val="clear" w:color="auto" w:fill="FFFFFF"/>
        </w:rPr>
        <w:t>九、其他重要事项的情况说明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sz w:val="32"/>
          <w:szCs w:val="32"/>
          <w:highlight w:val="none"/>
        </w:rPr>
      </w:pPr>
      <w:r>
        <w:rPr>
          <w:rFonts w:hint="eastAsia" w:ascii="楷体" w:hAnsi="楷体" w:eastAsia="楷体"/>
          <w:sz w:val="32"/>
          <w:szCs w:val="32"/>
          <w:highlight w:val="none"/>
        </w:rPr>
        <w:t>（一）机关运行经费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黑体" w:eastAsia="仿宋_GB2312"/>
          <w:color w:val="FF0000"/>
          <w:sz w:val="32"/>
          <w:szCs w:val="32"/>
        </w:rPr>
      </w:pPr>
      <w:r>
        <w:rPr>
          <w:rFonts w:hint="eastAsia" w:ascii="仿宋_GB2312" w:hAnsi="黑体" w:eastAsia="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sz w:val="32"/>
          <w:szCs w:val="32"/>
          <w:lang w:eastAsia="zh-CN"/>
        </w:rPr>
        <w:t>海口市综合行政执法局秀英分局本级单位</w:t>
      </w:r>
      <w:r>
        <w:rPr>
          <w:rFonts w:hint="eastAsia" w:ascii="仿宋_GB2312" w:hAnsi="黑体" w:eastAsia="仿宋_GB2312" w:cs="仿宋_GB2312"/>
          <w:sz w:val="32"/>
          <w:szCs w:val="32"/>
        </w:rPr>
        <w:t>的机关运行经费预算</w:t>
      </w:r>
      <w:r>
        <w:rPr>
          <w:rFonts w:hint="eastAsia" w:ascii="仿宋_GB2312" w:hAnsi="黑体" w:eastAsia="仿宋_GB2312" w:cs="仿宋_GB2312"/>
          <w:sz w:val="32"/>
          <w:szCs w:val="32"/>
          <w:lang w:val="en-US" w:eastAsia="zh-CN"/>
        </w:rPr>
        <w:t>179.0</w:t>
      </w:r>
      <w:r>
        <w:rPr>
          <w:rFonts w:hint="eastAsia" w:ascii="仿宋_GB2312" w:hAnsi="黑体" w:eastAsia="仿宋_GB2312"/>
          <w:sz w:val="32"/>
          <w:szCs w:val="32"/>
          <w:lang w:val="en-US" w:eastAsia="zh-CN"/>
        </w:rPr>
        <w:t>2</w:t>
      </w:r>
      <w:r>
        <w:rPr>
          <w:rFonts w:hint="eastAsia" w:ascii="仿宋_GB2312" w:hAnsi="黑体" w:eastAsia="仿宋_GB2312"/>
          <w:sz w:val="32"/>
          <w:szCs w:val="32"/>
          <w:lang w:eastAsia="zh-CN"/>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 w:hAnsi="楷体" w:eastAsia="楷体"/>
          <w:sz w:val="32"/>
          <w:szCs w:val="32"/>
          <w:highlight w:val="yellow"/>
        </w:rPr>
      </w:pPr>
      <w:r>
        <w:rPr>
          <w:rFonts w:hint="eastAsia" w:ascii="楷体" w:hAnsi="楷体" w:eastAsia="楷体"/>
          <w:sz w:val="32"/>
          <w:szCs w:val="32"/>
        </w:rPr>
        <w:t>（二</w:t>
      </w:r>
      <w:r>
        <w:rPr>
          <w:rFonts w:hint="eastAsia" w:ascii="楷体" w:hAnsi="楷体" w:eastAsia="楷体"/>
          <w:sz w:val="32"/>
          <w:szCs w:val="32"/>
          <w:highlight w:val="none"/>
        </w:rPr>
        <w:t>）政府采购情况</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黑体" w:eastAsia="仿宋_GB2312"/>
          <w:sz w:val="32"/>
          <w:szCs w:val="32"/>
        </w:rPr>
      </w:pPr>
      <w:r>
        <w:rPr>
          <w:rFonts w:hint="eastAsia" w:ascii="仿宋_GB2312" w:hAnsi="黑体" w:eastAsia="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sz w:val="32"/>
          <w:szCs w:val="32"/>
          <w:lang w:eastAsia="zh-CN"/>
        </w:rPr>
        <w:t>海口市综合行政执法局秀英分局本级单位</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86.92</w:t>
      </w:r>
      <w:r>
        <w:rPr>
          <w:rFonts w:hint="eastAsia" w:ascii="仿宋_GB2312" w:hAnsi="黑体" w:eastAsia="仿宋_GB2312"/>
          <w:sz w:val="32"/>
          <w:szCs w:val="32"/>
        </w:rPr>
        <w:t>万元，其中：政府采购货物预算</w:t>
      </w:r>
      <w:r>
        <w:rPr>
          <w:rFonts w:hint="eastAsia" w:ascii="仿宋_GB2312" w:hAnsi="黑体" w:eastAsia="仿宋_GB2312"/>
          <w:sz w:val="32"/>
          <w:szCs w:val="32"/>
          <w:lang w:val="en-US" w:eastAsia="zh-CN"/>
        </w:rPr>
        <w:t>86.92</w:t>
      </w:r>
      <w:r>
        <w:rPr>
          <w:rFonts w:hint="eastAsia" w:ascii="仿宋_GB2312" w:hAnsi="黑体" w:eastAsia="仿宋_GB2312"/>
          <w:sz w:val="32"/>
          <w:szCs w:val="32"/>
        </w:rPr>
        <w:t>万元，政府采购工程预算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 w:hAnsi="楷体" w:eastAsia="楷体"/>
          <w:sz w:val="32"/>
          <w:szCs w:val="32"/>
        </w:rPr>
      </w:pPr>
      <w:r>
        <w:rPr>
          <w:rFonts w:hint="eastAsia" w:ascii="楷体" w:hAnsi="楷体" w:eastAsia="楷体"/>
          <w:sz w:val="32"/>
          <w:szCs w:val="32"/>
        </w:rPr>
        <w:t>（三）国有资产占有使用情况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海口市综合行政执法局秀英分局</w:t>
      </w:r>
      <w:r>
        <w:rPr>
          <w:rFonts w:hint="eastAsia" w:ascii="仿宋_GB2312" w:hAnsi="黑体" w:eastAsia="仿宋_GB2312" w:cs="仿宋_GB2312"/>
          <w:sz w:val="32"/>
          <w:szCs w:val="32"/>
        </w:rPr>
        <w:t>本级单位共有车辆</w:t>
      </w:r>
      <w:r>
        <w:rPr>
          <w:rFonts w:hint="eastAsia" w:ascii="仿宋_GB2312" w:hAnsi="黑体" w:eastAsia="仿宋_GB2312" w:cs="仿宋_GB2312"/>
          <w:sz w:val="32"/>
          <w:szCs w:val="32"/>
          <w:lang w:val="en-US" w:eastAsia="zh-CN"/>
        </w:rPr>
        <w:t>30</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24</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 w:hAnsi="楷体" w:eastAsia="楷体"/>
          <w:sz w:val="32"/>
          <w:szCs w:val="32"/>
        </w:rPr>
      </w:pPr>
      <w:r>
        <w:rPr>
          <w:rFonts w:hint="eastAsia" w:ascii="楷体" w:hAnsi="楷体" w:eastAsia="楷体"/>
          <w:sz w:val="32"/>
          <w:szCs w:val="32"/>
        </w:rPr>
        <w:t>（四）绩效目标设置情况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黑体" w:eastAsia="仿宋_GB2312"/>
          <w:sz w:val="32"/>
          <w:szCs w:val="32"/>
        </w:rPr>
      </w:pPr>
      <w:r>
        <w:rPr>
          <w:rFonts w:hint="eastAsia" w:ascii="仿宋_GB2312" w:hAnsi="黑体" w:eastAsia="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sz w:val="32"/>
          <w:szCs w:val="32"/>
          <w:lang w:eastAsia="zh-CN"/>
        </w:rPr>
        <w:t>海口市综合行政执法局秀英分局本级单位</w:t>
      </w:r>
      <w:r>
        <w:rPr>
          <w:rFonts w:hint="eastAsia" w:ascii="仿宋_GB2312" w:hAnsi="黑体" w:eastAsia="仿宋_GB2312"/>
          <w:sz w:val="32"/>
          <w:szCs w:val="32"/>
          <w:lang w:val="en-US" w:eastAsia="zh-CN"/>
        </w:rPr>
        <w:t>19</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sz w:val="32"/>
          <w:szCs w:val="32"/>
          <w:lang w:val="en-US" w:eastAsia="zh-CN"/>
        </w:rPr>
        <w:t>3617.44</w:t>
      </w:r>
      <w:r>
        <w:rPr>
          <w:rFonts w:hint="eastAsia" w:ascii="仿宋_GB2312" w:hAnsi="黑体" w:eastAsia="仿宋_GB2312"/>
          <w:sz w:val="32"/>
          <w:szCs w:val="32"/>
        </w:rPr>
        <w:t>万元、政府性基金</w:t>
      </w:r>
      <w:r>
        <w:rPr>
          <w:rFonts w:hint="eastAsia" w:ascii="仿宋_GB2312" w:hAnsi="黑体" w:eastAsia="仿宋_GB2312"/>
          <w:sz w:val="32"/>
          <w:szCs w:val="32"/>
          <w:lang w:val="en-US" w:eastAsia="zh-CN"/>
        </w:rPr>
        <w:t>320.00</w:t>
      </w:r>
      <w:r>
        <w:rPr>
          <w:rFonts w:hint="eastAsia" w:ascii="仿宋_GB2312" w:hAnsi="黑体" w:eastAsia="仿宋_GB2312"/>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_GB2312" w:hAnsi="宋体" w:eastAsia="仿宋_GB2312" w:cs="宋体"/>
          <w:color w:val="000000"/>
          <w:kern w:val="0"/>
          <w:sz w:val="32"/>
          <w:szCs w:val="30"/>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b/>
          <w:sz w:val="32"/>
          <w:szCs w:val="32"/>
        </w:rPr>
      </w:pPr>
      <w:r>
        <w:rPr>
          <w:rFonts w:hint="eastAsia" w:ascii="黑体" w:hAnsi="黑体" w:eastAsia="黑体"/>
          <w:b/>
          <w:sz w:val="32"/>
          <w:szCs w:val="32"/>
        </w:rPr>
        <w:t>第四部分  名词解释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eastAsia="仿宋_GB2312" w:cs="宋体"/>
          <w:bCs/>
          <w:color w:val="000000"/>
          <w:kern w:val="0"/>
          <w:sz w:val="32"/>
          <w:szCs w:val="32"/>
          <w:lang w:val="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黑体"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黑体"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3049FA9"/>
    <w:multiLevelType w:val="singleLevel"/>
    <w:tmpl w:val="43049FA9"/>
    <w:lvl w:ilvl="0" w:tentative="0">
      <w:start w:val="2"/>
      <w:numFmt w:val="chineseCounting"/>
      <w:suff w:val="space"/>
      <w:lvlText w:val="第%1部分"/>
      <w:lvlJc w:val="left"/>
      <w:rPr>
        <w:rFonts w:hint="eastAsia"/>
      </w:r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F7FB0"/>
    <w:rsid w:val="00F3410E"/>
    <w:rsid w:val="00F65920"/>
    <w:rsid w:val="013F0163"/>
    <w:rsid w:val="01B54452"/>
    <w:rsid w:val="02653C1A"/>
    <w:rsid w:val="03562A29"/>
    <w:rsid w:val="037D2BEA"/>
    <w:rsid w:val="053E6785"/>
    <w:rsid w:val="054C13D4"/>
    <w:rsid w:val="06907C6A"/>
    <w:rsid w:val="06F71C4E"/>
    <w:rsid w:val="081142E7"/>
    <w:rsid w:val="08891AEB"/>
    <w:rsid w:val="0898762A"/>
    <w:rsid w:val="0AF40245"/>
    <w:rsid w:val="0B8C7A35"/>
    <w:rsid w:val="0CCB4545"/>
    <w:rsid w:val="0D327ECE"/>
    <w:rsid w:val="0FD70AF0"/>
    <w:rsid w:val="11752BC8"/>
    <w:rsid w:val="128710EB"/>
    <w:rsid w:val="1336018A"/>
    <w:rsid w:val="147B4939"/>
    <w:rsid w:val="14CF0E11"/>
    <w:rsid w:val="16CD7457"/>
    <w:rsid w:val="183E02EE"/>
    <w:rsid w:val="18AC407F"/>
    <w:rsid w:val="1A4A3070"/>
    <w:rsid w:val="1A5738FA"/>
    <w:rsid w:val="1B291E9B"/>
    <w:rsid w:val="1BC220F3"/>
    <w:rsid w:val="1C7B3839"/>
    <w:rsid w:val="1E3720EF"/>
    <w:rsid w:val="200E2AB3"/>
    <w:rsid w:val="2033324A"/>
    <w:rsid w:val="21591F16"/>
    <w:rsid w:val="22251141"/>
    <w:rsid w:val="23057B8A"/>
    <w:rsid w:val="258E4B6E"/>
    <w:rsid w:val="264849E2"/>
    <w:rsid w:val="26782EEF"/>
    <w:rsid w:val="27AD0394"/>
    <w:rsid w:val="290A48B2"/>
    <w:rsid w:val="2AEE7A97"/>
    <w:rsid w:val="2D4F4FDD"/>
    <w:rsid w:val="2D537B12"/>
    <w:rsid w:val="2EBE3D40"/>
    <w:rsid w:val="31664E17"/>
    <w:rsid w:val="31AD2937"/>
    <w:rsid w:val="342B71C6"/>
    <w:rsid w:val="370D1422"/>
    <w:rsid w:val="377A59D3"/>
    <w:rsid w:val="37A233DC"/>
    <w:rsid w:val="38C96BDF"/>
    <w:rsid w:val="39535097"/>
    <w:rsid w:val="397E252F"/>
    <w:rsid w:val="3A474750"/>
    <w:rsid w:val="3B6F2DC2"/>
    <w:rsid w:val="3BA5754B"/>
    <w:rsid w:val="3C33160B"/>
    <w:rsid w:val="3CD0449C"/>
    <w:rsid w:val="3E436237"/>
    <w:rsid w:val="3FA57BCC"/>
    <w:rsid w:val="429C7115"/>
    <w:rsid w:val="4320711A"/>
    <w:rsid w:val="436967BD"/>
    <w:rsid w:val="445E038E"/>
    <w:rsid w:val="454A54C9"/>
    <w:rsid w:val="45944FD4"/>
    <w:rsid w:val="45B55C83"/>
    <w:rsid w:val="45CC0ED3"/>
    <w:rsid w:val="45EC220D"/>
    <w:rsid w:val="474E6D85"/>
    <w:rsid w:val="47B621AA"/>
    <w:rsid w:val="49F16812"/>
    <w:rsid w:val="4B2B3E1A"/>
    <w:rsid w:val="4C2312E0"/>
    <w:rsid w:val="4C683C3C"/>
    <w:rsid w:val="4DBD0FE5"/>
    <w:rsid w:val="4DFB2B34"/>
    <w:rsid w:val="4E062D23"/>
    <w:rsid w:val="4F1D6700"/>
    <w:rsid w:val="4F4D386C"/>
    <w:rsid w:val="4FBE3AEF"/>
    <w:rsid w:val="507100E8"/>
    <w:rsid w:val="50B11F9C"/>
    <w:rsid w:val="528A41A3"/>
    <w:rsid w:val="52F675FF"/>
    <w:rsid w:val="53091289"/>
    <w:rsid w:val="535E1633"/>
    <w:rsid w:val="53A9321D"/>
    <w:rsid w:val="550B748B"/>
    <w:rsid w:val="56127A18"/>
    <w:rsid w:val="59422D2E"/>
    <w:rsid w:val="59833E63"/>
    <w:rsid w:val="59854BD9"/>
    <w:rsid w:val="59C737C6"/>
    <w:rsid w:val="59F92279"/>
    <w:rsid w:val="5AF24869"/>
    <w:rsid w:val="5B866B1C"/>
    <w:rsid w:val="5E1D1F1B"/>
    <w:rsid w:val="5F0318D9"/>
    <w:rsid w:val="5F7E1011"/>
    <w:rsid w:val="60F65289"/>
    <w:rsid w:val="61DD4B96"/>
    <w:rsid w:val="62FC48B6"/>
    <w:rsid w:val="64173D79"/>
    <w:rsid w:val="64850DAA"/>
    <w:rsid w:val="6518535B"/>
    <w:rsid w:val="65685597"/>
    <w:rsid w:val="65E30870"/>
    <w:rsid w:val="678E3A08"/>
    <w:rsid w:val="686F0DED"/>
    <w:rsid w:val="68C01619"/>
    <w:rsid w:val="69DD1CF7"/>
    <w:rsid w:val="6D49278E"/>
    <w:rsid w:val="6E9E7F6E"/>
    <w:rsid w:val="6EEA1CE8"/>
    <w:rsid w:val="6F253B80"/>
    <w:rsid w:val="715E12A2"/>
    <w:rsid w:val="715E16EA"/>
    <w:rsid w:val="71EA5B19"/>
    <w:rsid w:val="725E64BD"/>
    <w:rsid w:val="72A0473D"/>
    <w:rsid w:val="72BD0D85"/>
    <w:rsid w:val="73D66AD2"/>
    <w:rsid w:val="75994445"/>
    <w:rsid w:val="76966609"/>
    <w:rsid w:val="775248DA"/>
    <w:rsid w:val="775C6E36"/>
    <w:rsid w:val="79E26706"/>
    <w:rsid w:val="7A4D3CAD"/>
    <w:rsid w:val="7A541B0C"/>
    <w:rsid w:val="7A63004E"/>
    <w:rsid w:val="7B6E613D"/>
    <w:rsid w:val="7CBA1895"/>
    <w:rsid w:val="7DDC562F"/>
    <w:rsid w:val="7FA713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 w:type="paragraph" w:styleId="5">
    <w:name w:val="No Spacing"/>
    <w:qFormat/>
    <w:uiPriority w:val="0"/>
    <w:pPr>
      <w:ind w:firstLine="200" w:firstLineChars="200"/>
    </w:pPr>
    <w:rPr>
      <w:rFonts w:ascii="Times New Roman" w:hAnsi="Times New Roman" w:eastAsia="仿宋_GB2312" w:cs="Times New Roman"/>
      <w:sz w:val="30"/>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2022-03-30T08:18:00Z</dcterms:created>
  <dc:creator>HUAWEI</dc:creator>
  <cp:lastModifiedBy>HUAWEI</cp:lastModifiedBy>
  <dcterms:modified xsi:type="dcterms:W3CDTF">2024-02-28T01:32:20Z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