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sz w:val="32"/>
          <w:szCs w:val="32"/>
        </w:rPr>
      </w:pPr>
      <w:r>
        <w:rPr>
          <w:rFonts w:hint="eastAsia" w:ascii="黑体" w:hAnsi="宋体" w:eastAsia="黑体"/>
          <w:sz w:val="32"/>
          <w:szCs w:val="32"/>
        </w:rPr>
        <w:t>附件1</w:t>
      </w:r>
    </w:p>
    <w:p>
      <w:pPr>
        <w:rPr>
          <w:rFonts w:ascii="宋体" w:hAnsi="宋体"/>
          <w:sz w:val="30"/>
          <w:szCs w:val="30"/>
        </w:rPr>
      </w:pPr>
    </w:p>
    <w:p>
      <w:pPr>
        <w:jc w:val="center"/>
        <w:rPr>
          <w:rFonts w:ascii="黑体" w:hAnsi="ˎ̥" w:eastAsia="黑体"/>
          <w:sz w:val="44"/>
          <w:szCs w:val="44"/>
        </w:rPr>
      </w:pPr>
      <w:r>
        <w:rPr>
          <w:rFonts w:hint="eastAsia" w:ascii="黑体" w:hAnsi="ˎ̥" w:eastAsia="黑体"/>
          <w:sz w:val="44"/>
          <w:szCs w:val="44"/>
        </w:rPr>
        <w:t>海口市秀英区旅文局2022年度部门决算</w:t>
      </w:r>
    </w:p>
    <w:p>
      <w:pPr>
        <w:rPr>
          <w:rFonts w:ascii="黑体" w:hAnsi="ˎ̥" w:eastAsia="黑体"/>
          <w:sz w:val="44"/>
          <w:szCs w:val="44"/>
        </w:rPr>
      </w:pPr>
    </w:p>
    <w:p>
      <w:pPr>
        <w:jc w:val="center"/>
        <w:rPr>
          <w:rFonts w:ascii="黑体" w:hAnsi="ˎ̥" w:eastAsia="黑体"/>
          <w:b/>
          <w:sz w:val="32"/>
          <w:szCs w:val="32"/>
        </w:rPr>
      </w:pPr>
    </w:p>
    <w:p>
      <w:pPr>
        <w:jc w:val="center"/>
        <w:rPr>
          <w:rFonts w:ascii="黑体" w:hAnsi="黑体" w:eastAsia="黑体" w:cs="黑体"/>
          <w:sz w:val="44"/>
          <w:szCs w:val="44"/>
        </w:rPr>
      </w:pPr>
      <w:bookmarkStart w:id="0" w:name="_Toc11440_WPSOffice_Type2"/>
      <w:r>
        <w:rPr>
          <w:rFonts w:hint="eastAsia" w:ascii="黑体" w:hAnsi="黑体" w:eastAsia="黑体" w:cs="黑体"/>
          <w:sz w:val="44"/>
          <w:szCs w:val="44"/>
        </w:rPr>
        <w:t>目  录</w:t>
      </w:r>
    </w:p>
    <w:p>
      <w:pPr>
        <w:pStyle w:val="8"/>
        <w:tabs>
          <w:tab w:val="right" w:leader="dot" w:pos="8306"/>
        </w:tabs>
        <w:rPr>
          <w:sz w:val="32"/>
          <w:szCs w:val="32"/>
        </w:rPr>
      </w:pPr>
      <w:r>
        <w:fldChar w:fldCharType="begin"/>
      </w:r>
      <w:r>
        <w:instrText xml:space="preserve"> HYPERLINK \l "_Toc1704_WPSOffice_Level1" </w:instrText>
      </w:r>
      <w:r>
        <w:fldChar w:fldCharType="separate"/>
      </w:r>
      <w:r>
        <w:rPr>
          <w:rFonts w:hint="eastAsia" w:ascii="黑体" w:hAnsi="ˎ̥" w:eastAsia="黑体"/>
          <w:sz w:val="32"/>
          <w:szCs w:val="32"/>
        </w:rPr>
        <w:t>第一部分  2022年部门概况</w:t>
      </w:r>
      <w:r>
        <w:rPr>
          <w:sz w:val="32"/>
          <w:szCs w:val="32"/>
        </w:rPr>
        <w:tab/>
      </w:r>
      <w:r>
        <w:rPr>
          <w:rFonts w:hint="eastAsia"/>
          <w:sz w:val="32"/>
          <w:szCs w:val="32"/>
        </w:rPr>
        <w:t>3</w:t>
      </w:r>
      <w:r>
        <w:rPr>
          <w:rFonts w:hint="eastAsia"/>
          <w:sz w:val="32"/>
          <w:szCs w:val="32"/>
        </w:rPr>
        <w:fldChar w:fldCharType="end"/>
      </w:r>
    </w:p>
    <w:p>
      <w:pPr>
        <w:pStyle w:val="9"/>
        <w:tabs>
          <w:tab w:val="right" w:leader="dot" w:pos="8306"/>
        </w:tabs>
        <w:ind w:left="0" w:leftChars="0"/>
        <w:rPr>
          <w:rFonts w:ascii="仿宋" w:hAnsi="仿宋" w:eastAsia="仿宋" w:cs="仿宋"/>
          <w:sz w:val="32"/>
          <w:szCs w:val="32"/>
        </w:rPr>
      </w:pPr>
      <w:r>
        <w:fldChar w:fldCharType="begin"/>
      </w:r>
      <w:r>
        <w:instrText xml:space="preserve"> HYPERLINK \l "_Toc20274_WPSOffice_Level2" </w:instrText>
      </w:r>
      <w:r>
        <w:fldChar w:fldCharType="separate"/>
      </w:r>
      <w:r>
        <w:rPr>
          <w:rFonts w:hint="eastAsia" w:ascii="仿宋" w:hAnsi="仿宋" w:eastAsia="仿宋" w:cs="仿宋"/>
          <w:sz w:val="32"/>
          <w:szCs w:val="32"/>
        </w:rPr>
        <w:t>一、部门职责</w:t>
      </w:r>
      <w:r>
        <w:rPr>
          <w:rFonts w:hint="eastAsia" w:ascii="仿宋" w:hAnsi="仿宋" w:eastAsia="仿宋" w:cs="仿宋"/>
          <w:sz w:val="32"/>
          <w:szCs w:val="32"/>
        </w:rPr>
        <w:tab/>
      </w:r>
      <w:r>
        <w:rPr>
          <w:rFonts w:hint="eastAsia" w:ascii="仿宋" w:hAnsi="仿宋" w:eastAsia="仿宋" w:cs="仿宋"/>
          <w:sz w:val="32"/>
          <w:szCs w:val="32"/>
        </w:rPr>
        <w:t>3</w:t>
      </w:r>
      <w:r>
        <w:rPr>
          <w:rFonts w:hint="eastAsia" w:ascii="仿宋" w:hAnsi="仿宋" w:eastAsia="仿宋" w:cs="仿宋"/>
          <w:sz w:val="32"/>
          <w:szCs w:val="32"/>
        </w:rPr>
        <w:fldChar w:fldCharType="end"/>
      </w:r>
    </w:p>
    <w:p>
      <w:pPr>
        <w:pStyle w:val="9"/>
        <w:tabs>
          <w:tab w:val="right" w:leader="dot" w:pos="8306"/>
        </w:tabs>
        <w:ind w:left="0" w:leftChars="0"/>
        <w:rPr>
          <w:rFonts w:ascii="仿宋" w:hAnsi="仿宋" w:eastAsia="仿宋" w:cs="仿宋"/>
          <w:sz w:val="32"/>
          <w:szCs w:val="32"/>
        </w:rPr>
      </w:pPr>
      <w:r>
        <w:fldChar w:fldCharType="begin"/>
      </w:r>
      <w:r>
        <w:instrText xml:space="preserve"> HYPERLINK \l "_Toc4833_WPSOffice_Level2" </w:instrText>
      </w:r>
      <w: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t>3</w:t>
      </w:r>
      <w:r>
        <w:rPr>
          <w:rFonts w:hint="eastAsia" w:ascii="仿宋" w:hAnsi="仿宋" w:eastAsia="仿宋" w:cs="仿宋"/>
          <w:sz w:val="32"/>
          <w:szCs w:val="32"/>
        </w:rPr>
        <w:fldChar w:fldCharType="end"/>
      </w:r>
    </w:p>
    <w:p>
      <w:pPr>
        <w:pStyle w:val="8"/>
        <w:tabs>
          <w:tab w:val="right" w:leader="dot" w:pos="8306"/>
        </w:tabs>
        <w:rPr>
          <w:sz w:val="32"/>
          <w:szCs w:val="32"/>
        </w:rPr>
      </w:pPr>
      <w:r>
        <w:fldChar w:fldCharType="begin"/>
      </w:r>
      <w:r>
        <w:instrText xml:space="preserve"> HYPERLINK \l "_Toc28253_WPSOffice_Level1" </w:instrText>
      </w:r>
      <w:r>
        <w:fldChar w:fldCharType="separate"/>
      </w:r>
      <w:r>
        <w:rPr>
          <w:rFonts w:hint="eastAsia" w:ascii="黑体" w:hAnsi="ˎ̥" w:eastAsia="黑体"/>
          <w:sz w:val="32"/>
          <w:szCs w:val="32"/>
        </w:rPr>
        <w:t>第二部分 秀英区旅文局2022年度部门决算公开表</w:t>
      </w:r>
      <w:r>
        <w:rPr>
          <w:sz w:val="32"/>
          <w:szCs w:val="32"/>
        </w:rPr>
        <w:tab/>
      </w:r>
      <w:r>
        <w:rPr>
          <w:rFonts w:hint="eastAsia"/>
          <w:sz w:val="32"/>
          <w:szCs w:val="32"/>
        </w:rPr>
        <w:t>3</w:t>
      </w:r>
      <w:r>
        <w:rPr>
          <w:rFonts w:hint="eastAsia"/>
          <w:sz w:val="32"/>
          <w:szCs w:val="32"/>
        </w:rPr>
        <w:fldChar w:fldCharType="end"/>
      </w:r>
    </w:p>
    <w:p>
      <w:pPr>
        <w:pStyle w:val="9"/>
        <w:tabs>
          <w:tab w:val="right" w:leader="dot" w:pos="8306"/>
        </w:tabs>
        <w:ind w:left="0" w:leftChars="0"/>
        <w:rPr>
          <w:rFonts w:ascii="仿宋" w:hAnsi="仿宋" w:eastAsia="仿宋" w:cs="仿宋"/>
          <w:sz w:val="32"/>
          <w:szCs w:val="32"/>
        </w:rPr>
      </w:pPr>
      <w:r>
        <w:fldChar w:fldCharType="begin"/>
      </w:r>
      <w:r>
        <w:instrText xml:space="preserve"> HYPERLINK \l "_Toc11518_WPSOffice_Level2" </w:instrText>
      </w:r>
      <w:r>
        <w:fldChar w:fldCharType="separate"/>
      </w:r>
      <w:r>
        <w:rPr>
          <w:rFonts w:hint="eastAsia" w:ascii="仿宋" w:hAnsi="仿宋" w:eastAsia="仿宋" w:cs="仿宋"/>
          <w:sz w:val="32"/>
          <w:szCs w:val="32"/>
        </w:rPr>
        <w:t>一、收入支出决算公开表</w:t>
      </w:r>
      <w:r>
        <w:rPr>
          <w:rFonts w:hint="eastAsia" w:ascii="仿宋" w:hAnsi="仿宋" w:eastAsia="仿宋" w:cs="仿宋"/>
          <w:sz w:val="32"/>
          <w:szCs w:val="32"/>
        </w:rPr>
        <w:tab/>
      </w:r>
      <w:r>
        <w:rPr>
          <w:rFonts w:hint="eastAsia" w:ascii="仿宋" w:hAnsi="仿宋" w:eastAsia="仿宋" w:cs="仿宋"/>
          <w:sz w:val="32"/>
          <w:szCs w:val="32"/>
        </w:rPr>
        <w:t>3</w:t>
      </w:r>
      <w:r>
        <w:rPr>
          <w:rFonts w:hint="eastAsia" w:ascii="仿宋" w:hAnsi="仿宋" w:eastAsia="仿宋" w:cs="仿宋"/>
          <w:sz w:val="32"/>
          <w:szCs w:val="32"/>
        </w:rPr>
        <w:fldChar w:fldCharType="end"/>
      </w:r>
    </w:p>
    <w:p>
      <w:pPr>
        <w:pStyle w:val="9"/>
        <w:tabs>
          <w:tab w:val="right" w:leader="dot" w:pos="8306"/>
        </w:tabs>
        <w:ind w:left="0" w:leftChars="0"/>
        <w:rPr>
          <w:rFonts w:ascii="仿宋" w:hAnsi="仿宋" w:eastAsia="仿宋" w:cs="仿宋"/>
          <w:sz w:val="32"/>
          <w:szCs w:val="32"/>
        </w:rPr>
      </w:pPr>
      <w:r>
        <w:fldChar w:fldCharType="begin"/>
      </w:r>
      <w:r>
        <w:instrText xml:space="preserve"> HYPERLINK \l "_Toc28622_WPSOffice_Level2" </w:instrText>
      </w:r>
      <w:r>
        <w:fldChar w:fldCharType="separate"/>
      </w:r>
      <w:r>
        <w:rPr>
          <w:rFonts w:hint="eastAsia" w:ascii="仿宋" w:hAnsi="仿宋" w:eastAsia="仿宋" w:cs="仿宋"/>
          <w:sz w:val="32"/>
          <w:szCs w:val="32"/>
        </w:rPr>
        <w:t>二、收入决算公开表</w:t>
      </w:r>
      <w:r>
        <w:rPr>
          <w:rFonts w:hint="eastAsia" w:ascii="仿宋" w:hAnsi="仿宋" w:eastAsia="仿宋" w:cs="仿宋"/>
          <w:sz w:val="32"/>
          <w:szCs w:val="32"/>
        </w:rPr>
        <w:tab/>
      </w:r>
      <w:r>
        <w:rPr>
          <w:rFonts w:hint="eastAsia" w:ascii="仿宋" w:hAnsi="仿宋" w:eastAsia="仿宋" w:cs="仿宋"/>
          <w:sz w:val="32"/>
          <w:szCs w:val="32"/>
        </w:rPr>
        <w:t>3</w:t>
      </w:r>
      <w:r>
        <w:rPr>
          <w:rFonts w:hint="eastAsia" w:ascii="仿宋" w:hAnsi="仿宋" w:eastAsia="仿宋" w:cs="仿宋"/>
          <w:sz w:val="32"/>
          <w:szCs w:val="32"/>
        </w:rPr>
        <w:fldChar w:fldCharType="end"/>
      </w:r>
    </w:p>
    <w:p>
      <w:pPr>
        <w:pStyle w:val="9"/>
        <w:tabs>
          <w:tab w:val="right" w:leader="dot" w:pos="8306"/>
        </w:tabs>
        <w:ind w:left="0" w:leftChars="0"/>
        <w:rPr>
          <w:rFonts w:ascii="仿宋" w:hAnsi="仿宋" w:eastAsia="仿宋" w:cs="仿宋"/>
          <w:sz w:val="32"/>
          <w:szCs w:val="32"/>
        </w:rPr>
      </w:pPr>
      <w:r>
        <w:fldChar w:fldCharType="begin"/>
      </w:r>
      <w:r>
        <w:instrText xml:space="preserve"> HYPERLINK \l "_Toc5489_WPSOffice_Level2" </w:instrText>
      </w:r>
      <w:r>
        <w:fldChar w:fldCharType="separate"/>
      </w:r>
      <w:r>
        <w:rPr>
          <w:rFonts w:hint="eastAsia" w:ascii="仿宋" w:hAnsi="仿宋" w:eastAsia="仿宋" w:cs="仿宋"/>
          <w:sz w:val="32"/>
          <w:szCs w:val="32"/>
        </w:rPr>
        <w:t>三、支出决算公开表</w:t>
      </w:r>
      <w:r>
        <w:rPr>
          <w:rFonts w:hint="eastAsia" w:ascii="仿宋" w:hAnsi="仿宋" w:eastAsia="仿宋" w:cs="仿宋"/>
          <w:sz w:val="32"/>
          <w:szCs w:val="32"/>
        </w:rPr>
        <w:tab/>
      </w:r>
      <w:r>
        <w:rPr>
          <w:rFonts w:hint="eastAsia" w:ascii="仿宋" w:hAnsi="仿宋" w:eastAsia="仿宋" w:cs="仿宋"/>
          <w:sz w:val="32"/>
          <w:szCs w:val="32"/>
        </w:rPr>
        <w:t>3</w:t>
      </w:r>
      <w:r>
        <w:rPr>
          <w:rFonts w:hint="eastAsia" w:ascii="仿宋" w:hAnsi="仿宋" w:eastAsia="仿宋" w:cs="仿宋"/>
          <w:sz w:val="32"/>
          <w:szCs w:val="32"/>
        </w:rPr>
        <w:fldChar w:fldCharType="end"/>
      </w:r>
    </w:p>
    <w:p>
      <w:pPr>
        <w:pStyle w:val="9"/>
        <w:tabs>
          <w:tab w:val="right" w:leader="dot" w:pos="8306"/>
        </w:tabs>
        <w:ind w:left="0" w:leftChars="0"/>
        <w:rPr>
          <w:rFonts w:ascii="仿宋" w:hAnsi="仿宋" w:eastAsia="仿宋" w:cs="仿宋"/>
          <w:sz w:val="32"/>
          <w:szCs w:val="32"/>
        </w:rPr>
      </w:pPr>
      <w:r>
        <w:fldChar w:fldCharType="begin"/>
      </w:r>
      <w:r>
        <w:instrText xml:space="preserve"> HYPERLINK \l "_Toc23493_WPSOffice_Level2" </w:instrText>
      </w:r>
      <w:r>
        <w:fldChar w:fldCharType="separate"/>
      </w:r>
      <w:r>
        <w:rPr>
          <w:rFonts w:hint="eastAsia" w:ascii="仿宋" w:hAnsi="仿宋" w:eastAsia="仿宋" w:cs="仿宋"/>
          <w:sz w:val="32"/>
          <w:szCs w:val="32"/>
        </w:rPr>
        <w:t>四、 财政拨款收入支出决算公开表</w:t>
      </w:r>
      <w:r>
        <w:rPr>
          <w:rFonts w:hint="eastAsia" w:ascii="仿宋" w:hAnsi="仿宋" w:eastAsia="仿宋" w:cs="仿宋"/>
          <w:sz w:val="32"/>
          <w:szCs w:val="32"/>
        </w:rPr>
        <w:tab/>
      </w:r>
      <w:r>
        <w:rPr>
          <w:rFonts w:hint="eastAsia" w:ascii="仿宋" w:hAnsi="仿宋" w:eastAsia="仿宋" w:cs="仿宋"/>
          <w:sz w:val="32"/>
          <w:szCs w:val="32"/>
        </w:rPr>
        <w:t>3</w:t>
      </w:r>
      <w:r>
        <w:rPr>
          <w:rFonts w:hint="eastAsia" w:ascii="仿宋" w:hAnsi="仿宋" w:eastAsia="仿宋" w:cs="仿宋"/>
          <w:sz w:val="32"/>
          <w:szCs w:val="32"/>
        </w:rPr>
        <w:fldChar w:fldCharType="end"/>
      </w:r>
    </w:p>
    <w:p>
      <w:pPr>
        <w:pStyle w:val="9"/>
        <w:tabs>
          <w:tab w:val="right" w:leader="dot" w:pos="8306"/>
        </w:tabs>
        <w:ind w:left="0" w:leftChars="0"/>
        <w:rPr>
          <w:rFonts w:ascii="仿宋" w:hAnsi="仿宋" w:eastAsia="仿宋" w:cs="仿宋"/>
          <w:sz w:val="32"/>
          <w:szCs w:val="32"/>
        </w:rPr>
      </w:pPr>
      <w:r>
        <w:fldChar w:fldCharType="begin"/>
      </w:r>
      <w:r>
        <w:instrText xml:space="preserve"> HYPERLINK \l "_Toc7879_WPSOffice_Level2" </w:instrText>
      </w:r>
      <w:r>
        <w:fldChar w:fldCharType="separate"/>
      </w:r>
      <w:r>
        <w:rPr>
          <w:rFonts w:hint="eastAsia" w:ascii="仿宋" w:hAnsi="仿宋" w:eastAsia="仿宋" w:cs="仿宋"/>
          <w:sz w:val="32"/>
          <w:szCs w:val="32"/>
        </w:rPr>
        <w:t>五、一般公共预算财政拨款收入支出决算公开表</w:t>
      </w:r>
      <w:r>
        <w:rPr>
          <w:rFonts w:hint="eastAsia" w:ascii="仿宋" w:hAnsi="仿宋" w:eastAsia="仿宋" w:cs="仿宋"/>
          <w:sz w:val="32"/>
          <w:szCs w:val="32"/>
        </w:rPr>
        <w:tab/>
      </w:r>
      <w:r>
        <w:rPr>
          <w:rFonts w:hint="eastAsia" w:ascii="仿宋" w:hAnsi="仿宋" w:eastAsia="仿宋" w:cs="仿宋"/>
          <w:sz w:val="32"/>
          <w:szCs w:val="32"/>
        </w:rPr>
        <w:t>3</w:t>
      </w:r>
      <w:r>
        <w:rPr>
          <w:rFonts w:hint="eastAsia" w:ascii="仿宋" w:hAnsi="仿宋" w:eastAsia="仿宋" w:cs="仿宋"/>
          <w:sz w:val="32"/>
          <w:szCs w:val="32"/>
        </w:rPr>
        <w:fldChar w:fldCharType="end"/>
      </w:r>
    </w:p>
    <w:p>
      <w:pPr>
        <w:pStyle w:val="9"/>
        <w:tabs>
          <w:tab w:val="right" w:leader="dot" w:pos="8306"/>
        </w:tabs>
        <w:ind w:left="0" w:leftChars="0"/>
        <w:rPr>
          <w:rFonts w:ascii="仿宋" w:hAnsi="仿宋" w:eastAsia="仿宋" w:cs="仿宋"/>
          <w:sz w:val="32"/>
          <w:szCs w:val="32"/>
        </w:rPr>
      </w:pPr>
      <w:r>
        <w:fldChar w:fldCharType="begin"/>
      </w:r>
      <w:r>
        <w:instrText xml:space="preserve"> HYPERLINK \l "_Toc8373_WPSOffice_Level2" </w:instrText>
      </w:r>
      <w:r>
        <w:fldChar w:fldCharType="separate"/>
      </w:r>
      <w:r>
        <w:rPr>
          <w:rFonts w:hint="eastAsia" w:ascii="仿宋" w:hAnsi="仿宋" w:eastAsia="仿宋" w:cs="仿宋"/>
          <w:sz w:val="32"/>
          <w:szCs w:val="32"/>
        </w:rPr>
        <w:t>六、一般公共预算财政拨款基本支出决算公开表</w:t>
      </w:r>
      <w:r>
        <w:rPr>
          <w:rFonts w:hint="eastAsia" w:ascii="仿宋" w:hAnsi="仿宋" w:eastAsia="仿宋" w:cs="仿宋"/>
          <w:sz w:val="32"/>
          <w:szCs w:val="32"/>
        </w:rPr>
        <w:tab/>
      </w:r>
      <w:r>
        <w:rPr>
          <w:rFonts w:hint="eastAsia" w:ascii="仿宋" w:hAnsi="仿宋" w:eastAsia="仿宋" w:cs="仿宋"/>
          <w:sz w:val="32"/>
          <w:szCs w:val="32"/>
        </w:rPr>
        <w:t>3</w:t>
      </w:r>
      <w:r>
        <w:rPr>
          <w:rFonts w:hint="eastAsia" w:ascii="仿宋" w:hAnsi="仿宋" w:eastAsia="仿宋" w:cs="仿宋"/>
          <w:sz w:val="32"/>
          <w:szCs w:val="32"/>
        </w:rPr>
        <w:fldChar w:fldCharType="end"/>
      </w:r>
    </w:p>
    <w:p>
      <w:pPr>
        <w:pStyle w:val="9"/>
        <w:tabs>
          <w:tab w:val="right" w:leader="dot" w:pos="8306"/>
        </w:tabs>
        <w:ind w:left="0" w:leftChars="0"/>
        <w:rPr>
          <w:rFonts w:ascii="仿宋" w:hAnsi="仿宋" w:eastAsia="仿宋" w:cs="仿宋"/>
          <w:sz w:val="32"/>
          <w:szCs w:val="32"/>
        </w:rPr>
      </w:pPr>
      <w:r>
        <w:fldChar w:fldCharType="begin"/>
      </w:r>
      <w:r>
        <w:instrText xml:space="preserve"> HYPERLINK \l "_Toc1820_WPSOffice_Level2" </w:instrText>
      </w:r>
      <w:r>
        <w:fldChar w:fldCharType="separate"/>
      </w:r>
      <w:r>
        <w:rPr>
          <w:rFonts w:hint="eastAsia" w:ascii="仿宋" w:hAnsi="仿宋" w:eastAsia="仿宋" w:cs="仿宋"/>
          <w:sz w:val="32"/>
          <w:szCs w:val="32"/>
        </w:rPr>
        <w:t>七、政府性基金预算财政拨款收入支出决算公开表</w:t>
      </w:r>
      <w:r>
        <w:rPr>
          <w:rFonts w:hint="eastAsia" w:ascii="仿宋" w:hAnsi="仿宋" w:eastAsia="仿宋" w:cs="仿宋"/>
          <w:sz w:val="32"/>
          <w:szCs w:val="32"/>
        </w:rPr>
        <w:tab/>
      </w:r>
      <w:r>
        <w:rPr>
          <w:rFonts w:hint="eastAsia" w:ascii="仿宋" w:hAnsi="仿宋" w:eastAsia="仿宋" w:cs="仿宋"/>
          <w:sz w:val="32"/>
          <w:szCs w:val="32"/>
        </w:rPr>
        <w:t>3</w:t>
      </w:r>
      <w:r>
        <w:rPr>
          <w:rFonts w:hint="eastAsia" w:ascii="仿宋" w:hAnsi="仿宋" w:eastAsia="仿宋" w:cs="仿宋"/>
          <w:sz w:val="32"/>
          <w:szCs w:val="32"/>
        </w:rPr>
        <w:fldChar w:fldCharType="end"/>
      </w:r>
    </w:p>
    <w:p>
      <w:pPr>
        <w:pStyle w:val="9"/>
        <w:tabs>
          <w:tab w:val="right" w:leader="dot" w:pos="8306"/>
        </w:tabs>
        <w:ind w:left="0" w:leftChars="0"/>
        <w:rPr>
          <w:rFonts w:ascii="仿宋" w:hAnsi="仿宋" w:eastAsia="仿宋" w:cs="仿宋"/>
          <w:sz w:val="32"/>
          <w:szCs w:val="32"/>
        </w:rPr>
      </w:pPr>
      <w:r>
        <w:rPr>
          <w:rFonts w:hint="eastAsia" w:ascii="仿宋" w:hAnsi="仿宋" w:eastAsia="仿宋" w:cs="仿宋"/>
          <w:sz w:val="32"/>
          <w:szCs w:val="32"/>
        </w:rPr>
        <w:t>八、国有资本经营预算财政拨款收入支出决算公开表</w:t>
      </w:r>
      <w:r>
        <w:rPr>
          <w:rFonts w:hint="eastAsia" w:ascii="仿宋" w:hAnsi="仿宋" w:eastAsia="仿宋" w:cs="仿宋"/>
          <w:sz w:val="32"/>
          <w:szCs w:val="32"/>
        </w:rPr>
        <w:tab/>
      </w:r>
      <w:r>
        <w:rPr>
          <w:rFonts w:hint="eastAsia" w:ascii="仿宋" w:hAnsi="仿宋" w:eastAsia="仿宋" w:cs="仿宋"/>
          <w:sz w:val="32"/>
          <w:szCs w:val="32"/>
        </w:rPr>
        <w:t>3</w:t>
      </w:r>
    </w:p>
    <w:p>
      <w:pPr>
        <w:pStyle w:val="9"/>
        <w:tabs>
          <w:tab w:val="right" w:leader="dot" w:pos="8306"/>
        </w:tabs>
        <w:ind w:left="0" w:leftChars="0"/>
        <w:rPr>
          <w:rFonts w:ascii="仿宋" w:hAnsi="仿宋" w:eastAsia="仿宋" w:cs="仿宋"/>
          <w:sz w:val="32"/>
          <w:szCs w:val="32"/>
        </w:rPr>
      </w:pPr>
      <w:r>
        <w:fldChar w:fldCharType="begin"/>
      </w:r>
      <w:r>
        <w:instrText xml:space="preserve"> HYPERLINK \l "_Toc21310_WPSOffice_Level2" </w:instrText>
      </w:r>
      <w:r>
        <w:fldChar w:fldCharType="separate"/>
      </w:r>
      <w:r>
        <w:rPr>
          <w:rFonts w:hint="eastAsia" w:ascii="仿宋" w:hAnsi="仿宋" w:eastAsia="仿宋" w:cs="仿宋"/>
          <w:sz w:val="32"/>
          <w:szCs w:val="32"/>
        </w:rPr>
        <w:t>九、一般公共预算财政拨款“三公”经费支出决算公开表</w:t>
      </w:r>
      <w:r>
        <w:rPr>
          <w:rFonts w:hint="eastAsia" w:ascii="仿宋" w:hAnsi="仿宋" w:eastAsia="仿宋" w:cs="仿宋"/>
          <w:sz w:val="32"/>
          <w:szCs w:val="32"/>
        </w:rPr>
        <w:tab/>
      </w:r>
      <w:r>
        <w:rPr>
          <w:rFonts w:hint="eastAsia" w:ascii="仿宋" w:hAnsi="仿宋" w:eastAsia="仿宋" w:cs="仿宋"/>
          <w:sz w:val="32"/>
          <w:szCs w:val="32"/>
        </w:rPr>
        <w:t>3</w:t>
      </w:r>
      <w:r>
        <w:rPr>
          <w:rFonts w:hint="eastAsia" w:ascii="仿宋" w:hAnsi="仿宋" w:eastAsia="仿宋" w:cs="仿宋"/>
          <w:sz w:val="32"/>
          <w:szCs w:val="32"/>
        </w:rPr>
        <w:fldChar w:fldCharType="end"/>
      </w:r>
    </w:p>
    <w:p>
      <w:pPr>
        <w:pStyle w:val="9"/>
        <w:tabs>
          <w:tab w:val="right" w:leader="dot" w:pos="8306"/>
        </w:tabs>
        <w:ind w:left="0" w:leftChars="0"/>
        <w:rPr>
          <w:rFonts w:ascii="仿宋" w:hAnsi="仿宋" w:eastAsia="仿宋" w:cs="仿宋"/>
          <w:sz w:val="32"/>
          <w:szCs w:val="32"/>
        </w:rPr>
      </w:pPr>
      <w:r>
        <w:fldChar w:fldCharType="begin"/>
      </w:r>
      <w:r>
        <w:instrText xml:space="preserve"> HYPERLINK \l "_Toc21310_WPSOffice_Level2" </w:instrText>
      </w:r>
      <w:r>
        <w:fldChar w:fldCharType="separate"/>
      </w:r>
      <w:r>
        <w:rPr>
          <w:rFonts w:hint="eastAsia" w:ascii="仿宋" w:hAnsi="仿宋" w:eastAsia="仿宋" w:cs="仿宋"/>
          <w:sz w:val="32"/>
          <w:szCs w:val="32"/>
        </w:rPr>
        <w:t>十、政府性基金预算财政拨款“三公”经费支出决算公开表</w:t>
      </w:r>
      <w:r>
        <w:rPr>
          <w:rFonts w:hint="eastAsia" w:ascii="仿宋" w:hAnsi="仿宋" w:eastAsia="仿宋" w:cs="仿宋"/>
          <w:sz w:val="32"/>
          <w:szCs w:val="32"/>
        </w:rPr>
        <w:tab/>
      </w:r>
      <w:r>
        <w:rPr>
          <w:rFonts w:hint="eastAsia" w:ascii="仿宋" w:hAnsi="仿宋" w:eastAsia="仿宋" w:cs="仿宋"/>
          <w:sz w:val="32"/>
          <w:szCs w:val="32"/>
        </w:rPr>
        <w:t>3</w:t>
      </w:r>
      <w:r>
        <w:rPr>
          <w:rFonts w:hint="eastAsia" w:ascii="仿宋" w:hAnsi="仿宋" w:eastAsia="仿宋" w:cs="仿宋"/>
          <w:sz w:val="32"/>
          <w:szCs w:val="32"/>
        </w:rPr>
        <w:fldChar w:fldCharType="end"/>
      </w:r>
    </w:p>
    <w:p>
      <w:pPr>
        <w:pStyle w:val="9"/>
        <w:tabs>
          <w:tab w:val="right" w:leader="dot" w:pos="8306"/>
        </w:tabs>
        <w:ind w:left="0" w:leftChars="0"/>
        <w:rPr>
          <w:rFonts w:ascii="仿宋" w:hAnsi="仿宋" w:eastAsia="仿宋" w:cs="仿宋"/>
          <w:sz w:val="32"/>
          <w:szCs w:val="32"/>
        </w:rPr>
      </w:pPr>
      <w:r>
        <w:rPr>
          <w:rFonts w:hint="eastAsia" w:ascii="仿宋" w:hAnsi="仿宋" w:eastAsia="仿宋" w:cs="仿宋"/>
          <w:sz w:val="32"/>
          <w:szCs w:val="32"/>
        </w:rPr>
        <w:t>十一、国有资本经营预算财政拨款“三公”经费支出决算公开表</w:t>
      </w:r>
      <w:r>
        <w:rPr>
          <w:rFonts w:hint="eastAsia" w:ascii="仿宋" w:hAnsi="仿宋" w:eastAsia="仿宋" w:cs="仿宋"/>
          <w:sz w:val="32"/>
          <w:szCs w:val="32"/>
        </w:rPr>
        <w:tab/>
      </w:r>
      <w:r>
        <w:rPr>
          <w:rFonts w:hint="eastAsia" w:ascii="仿宋" w:hAnsi="仿宋" w:eastAsia="仿宋" w:cs="仿宋"/>
          <w:sz w:val="32"/>
          <w:szCs w:val="32"/>
        </w:rPr>
        <w:t>3</w:t>
      </w:r>
    </w:p>
    <w:p>
      <w:pPr>
        <w:pStyle w:val="8"/>
        <w:tabs>
          <w:tab w:val="right" w:leader="dot" w:pos="8306"/>
        </w:tabs>
        <w:rPr>
          <w:sz w:val="32"/>
          <w:szCs w:val="32"/>
        </w:rPr>
      </w:pPr>
      <w:r>
        <w:fldChar w:fldCharType="begin"/>
      </w:r>
      <w:r>
        <w:instrText xml:space="preserve"> HYPERLINK \l "_Toc27590_WPSOffice_Level1" </w:instrText>
      </w:r>
      <w:r>
        <w:fldChar w:fldCharType="separate"/>
      </w:r>
      <w:r>
        <w:rPr>
          <w:rFonts w:hint="eastAsia" w:ascii="黑体" w:hAnsi="黑体" w:eastAsia="黑体" w:cs="黑体"/>
          <w:sz w:val="32"/>
          <w:szCs w:val="32"/>
        </w:rPr>
        <w:t>第三部分</w:t>
      </w:r>
      <w:r>
        <w:rPr>
          <w:rFonts w:hint="eastAsia"/>
          <w:sz w:val="32"/>
          <w:szCs w:val="32"/>
        </w:rPr>
        <w:t xml:space="preserve"> </w:t>
      </w:r>
      <w:r>
        <w:rPr>
          <w:rFonts w:hint="eastAsia" w:ascii="黑体" w:hAnsi="ˎ̥" w:eastAsia="黑体"/>
          <w:sz w:val="32"/>
          <w:szCs w:val="32"/>
        </w:rPr>
        <w:t>秀英区旅文局2022年度部门决算情况说明</w:t>
      </w:r>
      <w:r>
        <w:rPr>
          <w:sz w:val="32"/>
          <w:szCs w:val="32"/>
        </w:rPr>
        <w:tab/>
      </w:r>
      <w:r>
        <w:rPr>
          <w:rFonts w:hint="eastAsia"/>
          <w:sz w:val="32"/>
          <w:szCs w:val="32"/>
        </w:rPr>
        <w:t>4</w:t>
      </w:r>
      <w:r>
        <w:rPr>
          <w:rFonts w:hint="eastAsia"/>
          <w:sz w:val="32"/>
          <w:szCs w:val="32"/>
        </w:rPr>
        <w:fldChar w:fldCharType="end"/>
      </w:r>
    </w:p>
    <w:p>
      <w:pPr>
        <w:pStyle w:val="9"/>
        <w:tabs>
          <w:tab w:val="right" w:leader="dot" w:pos="8306"/>
        </w:tabs>
        <w:ind w:left="0" w:leftChars="0"/>
        <w:rPr>
          <w:rFonts w:ascii="仿宋" w:hAnsi="仿宋" w:eastAsia="仿宋" w:cs="仿宋"/>
          <w:sz w:val="32"/>
          <w:szCs w:val="32"/>
        </w:rPr>
      </w:pPr>
      <w:r>
        <w:fldChar w:fldCharType="begin"/>
      </w:r>
      <w:r>
        <w:instrText xml:space="preserve"> HYPERLINK \l "_Toc21737_WPSOffice_Level2" </w:instrText>
      </w:r>
      <w:r>
        <w:fldChar w:fldCharType="separate"/>
      </w:r>
      <w:r>
        <w:rPr>
          <w:rFonts w:hint="eastAsia" w:ascii="仿宋" w:hAnsi="仿宋" w:eastAsia="仿宋" w:cs="仿宋"/>
          <w:bCs/>
          <w:sz w:val="32"/>
          <w:szCs w:val="32"/>
        </w:rPr>
        <w:t>一、收入支出决算总体情况说明</w:t>
      </w:r>
      <w:r>
        <w:rPr>
          <w:rFonts w:hint="eastAsia" w:ascii="仿宋" w:hAnsi="仿宋" w:eastAsia="仿宋" w:cs="仿宋"/>
          <w:sz w:val="32"/>
          <w:szCs w:val="32"/>
        </w:rPr>
        <w:tab/>
      </w:r>
      <w:r>
        <w:rPr>
          <w:rFonts w:hint="eastAsia" w:ascii="仿宋" w:hAnsi="仿宋" w:eastAsia="仿宋" w:cs="仿宋"/>
          <w:sz w:val="32"/>
          <w:szCs w:val="32"/>
        </w:rPr>
        <w:t>4</w:t>
      </w:r>
      <w:r>
        <w:rPr>
          <w:rFonts w:hint="eastAsia" w:ascii="仿宋" w:hAnsi="仿宋" w:eastAsia="仿宋" w:cs="仿宋"/>
          <w:sz w:val="32"/>
          <w:szCs w:val="32"/>
        </w:rPr>
        <w:fldChar w:fldCharType="end"/>
      </w:r>
    </w:p>
    <w:p>
      <w:pPr>
        <w:pStyle w:val="9"/>
        <w:tabs>
          <w:tab w:val="right" w:leader="dot" w:pos="8306"/>
        </w:tabs>
        <w:ind w:left="0" w:leftChars="0"/>
        <w:rPr>
          <w:rFonts w:ascii="仿宋" w:hAnsi="仿宋" w:eastAsia="仿宋" w:cs="仿宋"/>
          <w:sz w:val="32"/>
          <w:szCs w:val="32"/>
        </w:rPr>
      </w:pPr>
      <w:r>
        <w:fldChar w:fldCharType="begin"/>
      </w:r>
      <w:r>
        <w:instrText xml:space="preserve"> HYPERLINK \l "_Toc19535_WPSOffice_Level2" </w:instrText>
      </w:r>
      <w: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t>4</w:t>
      </w:r>
      <w:r>
        <w:rPr>
          <w:rFonts w:hint="eastAsia" w:ascii="仿宋" w:hAnsi="仿宋" w:eastAsia="仿宋" w:cs="仿宋"/>
          <w:sz w:val="32"/>
          <w:szCs w:val="32"/>
        </w:rPr>
        <w:fldChar w:fldCharType="end"/>
      </w:r>
    </w:p>
    <w:p>
      <w:pPr>
        <w:pStyle w:val="9"/>
        <w:tabs>
          <w:tab w:val="right" w:leader="dot" w:pos="8306"/>
        </w:tabs>
        <w:ind w:left="0" w:leftChars="0"/>
        <w:rPr>
          <w:rFonts w:ascii="仿宋" w:hAnsi="仿宋" w:eastAsia="仿宋" w:cs="仿宋"/>
          <w:sz w:val="32"/>
          <w:szCs w:val="32"/>
        </w:rPr>
      </w:pPr>
      <w:r>
        <w:fldChar w:fldCharType="begin"/>
      </w:r>
      <w:r>
        <w:instrText xml:space="preserve"> HYPERLINK \l "_Toc19535_WPSOffice_Level2" </w:instrText>
      </w:r>
      <w: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t>4</w:t>
      </w:r>
      <w:r>
        <w:rPr>
          <w:rFonts w:hint="eastAsia" w:ascii="仿宋" w:hAnsi="仿宋" w:eastAsia="仿宋" w:cs="仿宋"/>
          <w:sz w:val="32"/>
          <w:szCs w:val="32"/>
        </w:rPr>
        <w:fldChar w:fldCharType="end"/>
      </w:r>
    </w:p>
    <w:p>
      <w:pPr>
        <w:pStyle w:val="9"/>
        <w:tabs>
          <w:tab w:val="right" w:leader="dot" w:pos="8306"/>
        </w:tabs>
        <w:ind w:left="0" w:leftChars="0"/>
        <w:rPr>
          <w:rFonts w:ascii="仿宋" w:hAnsi="仿宋" w:eastAsia="仿宋" w:cs="仿宋"/>
          <w:sz w:val="32"/>
          <w:szCs w:val="32"/>
        </w:rPr>
      </w:pPr>
      <w:r>
        <w:fldChar w:fldCharType="begin"/>
      </w:r>
      <w:r>
        <w:instrText xml:space="preserve"> HYPERLINK \l "_Toc19535_WPSOffice_Level2" </w:instrText>
      </w:r>
      <w:r>
        <w:fldChar w:fldCharType="separate"/>
      </w:r>
      <w:r>
        <w:rPr>
          <w:rFonts w:hint="eastAsia" w:ascii="仿宋" w:hAnsi="仿宋" w:eastAsia="仿宋" w:cs="仿宋"/>
          <w:bCs/>
          <w:sz w:val="32"/>
          <w:szCs w:val="32"/>
        </w:rPr>
        <w:t>四、财政拨款收入支出决算总体情况说明</w:t>
      </w:r>
      <w:r>
        <w:rPr>
          <w:rFonts w:hint="eastAsia" w:ascii="仿宋" w:hAnsi="仿宋" w:eastAsia="仿宋" w:cs="仿宋"/>
          <w:sz w:val="32"/>
          <w:szCs w:val="32"/>
        </w:rPr>
        <w:tab/>
      </w:r>
      <w:r>
        <w:rPr>
          <w:rFonts w:hint="eastAsia" w:ascii="仿宋" w:hAnsi="仿宋" w:eastAsia="仿宋" w:cs="仿宋"/>
          <w:sz w:val="32"/>
          <w:szCs w:val="32"/>
        </w:rPr>
        <w:t>5</w:t>
      </w:r>
      <w:r>
        <w:rPr>
          <w:rFonts w:hint="eastAsia" w:ascii="仿宋" w:hAnsi="仿宋" w:eastAsia="仿宋" w:cs="仿宋"/>
          <w:sz w:val="32"/>
          <w:szCs w:val="32"/>
        </w:rPr>
        <w:fldChar w:fldCharType="end"/>
      </w:r>
    </w:p>
    <w:p>
      <w:pPr>
        <w:pStyle w:val="9"/>
        <w:tabs>
          <w:tab w:val="right" w:leader="dot" w:pos="8306"/>
        </w:tabs>
        <w:ind w:left="0" w:leftChars="0"/>
        <w:rPr>
          <w:rFonts w:ascii="仿宋" w:hAnsi="仿宋" w:eastAsia="仿宋" w:cs="仿宋"/>
          <w:sz w:val="32"/>
          <w:szCs w:val="32"/>
        </w:rPr>
      </w:pPr>
      <w:r>
        <w:fldChar w:fldCharType="begin"/>
      </w:r>
      <w:r>
        <w:instrText xml:space="preserve"> HYPERLINK \l "_Toc19535_WPSOffice_Level2" </w:instrText>
      </w:r>
      <w: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5</w:t>
      </w:r>
      <w:r>
        <w:rPr>
          <w:rFonts w:hint="eastAsia" w:ascii="仿宋" w:hAnsi="仿宋" w:eastAsia="仿宋" w:cs="仿宋"/>
          <w:sz w:val="32"/>
          <w:szCs w:val="32"/>
        </w:rPr>
        <w:fldChar w:fldCharType="end"/>
      </w:r>
    </w:p>
    <w:p>
      <w:pPr>
        <w:pStyle w:val="9"/>
        <w:tabs>
          <w:tab w:val="right" w:leader="dot" w:pos="8306"/>
        </w:tabs>
        <w:ind w:left="0" w:leftChars="0"/>
        <w:rPr>
          <w:rFonts w:ascii="仿宋" w:hAnsi="仿宋" w:eastAsia="仿宋" w:cs="仿宋"/>
          <w:sz w:val="32"/>
          <w:szCs w:val="32"/>
        </w:rPr>
      </w:pPr>
      <w:r>
        <w:fldChar w:fldCharType="begin"/>
      </w:r>
      <w:r>
        <w:instrText xml:space="preserve"> HYPERLINK \l "_Toc19535_WPSOffice_Level2" </w:instrText>
      </w:r>
      <w: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bCs/>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rPr>
        <w:t>6</w:t>
      </w:r>
    </w:p>
    <w:p>
      <w:pPr>
        <w:pStyle w:val="9"/>
        <w:tabs>
          <w:tab w:val="right" w:leader="dot" w:pos="8306"/>
        </w:tabs>
        <w:ind w:left="0" w:leftChars="0"/>
        <w:rPr>
          <w:rFonts w:ascii="仿宋" w:hAnsi="仿宋" w:eastAsia="仿宋" w:cs="仿宋"/>
          <w:sz w:val="32"/>
          <w:szCs w:val="32"/>
        </w:rPr>
      </w:pPr>
      <w:r>
        <w:rPr>
          <w:rFonts w:hint="eastAsia" w:ascii="仿宋" w:hAnsi="仿宋" w:eastAsia="仿宋" w:cs="仿宋"/>
          <w:sz w:val="32"/>
          <w:szCs w:val="32"/>
        </w:rPr>
        <w:t>七、</w:t>
      </w:r>
      <w:r>
        <w:rPr>
          <w:rFonts w:hint="eastAsia" w:ascii="仿宋" w:hAnsi="仿宋" w:eastAsia="仿宋" w:cs="仿宋"/>
          <w:bCs/>
          <w:sz w:val="32"/>
          <w:szCs w:val="32"/>
        </w:rPr>
        <w:t>政府性基金预算财政拨款收入支出决算情况说明</w:t>
      </w:r>
      <w:r>
        <w:rPr>
          <w:rFonts w:hint="eastAsia" w:ascii="仿宋" w:hAnsi="仿宋" w:eastAsia="仿宋" w:cs="仿宋"/>
          <w:sz w:val="32"/>
          <w:szCs w:val="32"/>
        </w:rPr>
        <w:tab/>
      </w:r>
      <w:r>
        <w:rPr>
          <w:rFonts w:hint="eastAsia" w:ascii="仿宋" w:hAnsi="仿宋" w:eastAsia="仿宋" w:cs="仿宋"/>
          <w:sz w:val="32"/>
          <w:szCs w:val="32"/>
        </w:rPr>
        <w:t>6</w:t>
      </w:r>
    </w:p>
    <w:p>
      <w:pPr>
        <w:rPr>
          <w:rFonts w:ascii="仿宋" w:hAnsi="仿宋" w:eastAsia="仿宋" w:cs="仿宋"/>
          <w:w w:val="98"/>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_Toc5978_WPSOffice_Level2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八、国有资本经营预算财政拨款收入支出决算情况说明</w:t>
      </w:r>
    </w:p>
    <w:p>
      <w:pPr>
        <w:pStyle w:val="9"/>
        <w:tabs>
          <w:tab w:val="right" w:leader="dot" w:pos="8306"/>
        </w:tabs>
        <w:ind w:left="0" w:leftChars="0"/>
        <w:rPr>
          <w:rFonts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7</w:t>
      </w:r>
      <w:r>
        <w:rPr>
          <w:rFonts w:hint="eastAsia" w:ascii="仿宋" w:hAnsi="仿宋" w:eastAsia="仿宋" w:cs="仿宋"/>
          <w:sz w:val="32"/>
          <w:szCs w:val="32"/>
        </w:rPr>
        <w:fldChar w:fldCharType="end"/>
      </w:r>
    </w:p>
    <w:p>
      <w:pPr>
        <w:rPr>
          <w:rFonts w:ascii="仿宋" w:hAnsi="仿宋" w:eastAsia="仿宋" w:cs="仿宋"/>
          <w:w w:val="98"/>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_Toc5978_WPSOffice_Level2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w:t>
      </w:r>
      <w:r>
        <w:rPr>
          <w:rFonts w:hint="eastAsia" w:ascii="仿宋" w:hAnsi="仿宋" w:eastAsia="仿宋" w:cs="仿宋"/>
          <w:bCs/>
          <w:w w:val="98"/>
          <w:sz w:val="32"/>
          <w:szCs w:val="32"/>
        </w:rPr>
        <w:t>一般公共预算财政拨款“三公”经费支出决算情况说明</w:t>
      </w:r>
    </w:p>
    <w:p>
      <w:pPr>
        <w:pStyle w:val="9"/>
        <w:tabs>
          <w:tab w:val="right" w:leader="dot" w:pos="8306"/>
        </w:tabs>
        <w:ind w:left="0" w:leftChars="0"/>
        <w:rPr>
          <w:rFonts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8</w:t>
      </w:r>
      <w:r>
        <w:rPr>
          <w:rFonts w:hint="eastAsia" w:ascii="仿宋" w:hAnsi="仿宋" w:eastAsia="仿宋" w:cs="仿宋"/>
          <w:sz w:val="32"/>
          <w:szCs w:val="32"/>
        </w:rPr>
        <w:fldChar w:fldCharType="end"/>
      </w:r>
    </w:p>
    <w:p>
      <w:pPr>
        <w:pStyle w:val="9"/>
        <w:tabs>
          <w:tab w:val="right" w:leader="dot" w:pos="8306"/>
        </w:tabs>
        <w:ind w:left="0" w:leftChars="0"/>
        <w:rPr>
          <w:rFonts w:ascii="仿宋" w:hAnsi="仿宋" w:eastAsia="仿宋" w:cs="仿宋"/>
          <w:sz w:val="32"/>
          <w:szCs w:val="32"/>
        </w:rPr>
      </w:pPr>
      <w:r>
        <w:rPr>
          <w:rFonts w:hint="eastAsia" w:ascii="仿宋" w:hAnsi="仿宋" w:eastAsia="仿宋" w:cs="仿宋"/>
          <w:sz w:val="32"/>
          <w:szCs w:val="32"/>
        </w:rPr>
        <w:t>十、</w:t>
      </w:r>
      <w:r>
        <w:fldChar w:fldCharType="begin"/>
      </w:r>
      <w:r>
        <w:instrText xml:space="preserve"> HYPERLINK \l "_Toc19535_WPSOffice_Level2" </w:instrText>
      </w:r>
      <w:r>
        <w:fldChar w:fldCharType="separate"/>
      </w:r>
      <w:r>
        <w:rPr>
          <w:rFonts w:hint="eastAsia" w:ascii="仿宋" w:hAnsi="仿宋" w:eastAsia="仿宋" w:cs="仿宋"/>
          <w:bCs/>
          <w:w w:val="98"/>
          <w:sz w:val="32"/>
          <w:szCs w:val="32"/>
        </w:rPr>
        <w:t>政府性基金预算财政拨款“三公”经费支出决算情况说明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t>9</w:t>
      </w:r>
      <w:r>
        <w:rPr>
          <w:rFonts w:hint="eastAsia" w:ascii="仿宋" w:hAnsi="仿宋" w:eastAsia="仿宋" w:cs="仿宋"/>
          <w:sz w:val="32"/>
          <w:szCs w:val="32"/>
        </w:rPr>
        <w:fldChar w:fldCharType="end"/>
      </w:r>
    </w:p>
    <w:p>
      <w:pPr>
        <w:pStyle w:val="9"/>
        <w:tabs>
          <w:tab w:val="right" w:leader="dot" w:pos="8306"/>
        </w:tabs>
        <w:ind w:left="0" w:leftChars="0"/>
        <w:rPr>
          <w:rFonts w:ascii="仿宋" w:hAnsi="仿宋" w:eastAsia="仿宋" w:cs="仿宋"/>
          <w:sz w:val="32"/>
          <w:szCs w:val="32"/>
        </w:rPr>
      </w:pPr>
      <w:r>
        <w:fldChar w:fldCharType="begin"/>
      </w:r>
      <w:r>
        <w:instrText xml:space="preserve"> HYPERLINK \l "_Toc19535_WPSOffice_Level2" </w:instrText>
      </w:r>
      <w:r>
        <w:fldChar w:fldCharType="separate"/>
      </w:r>
      <w:r>
        <w:rPr>
          <w:rFonts w:hint="eastAsia" w:ascii="仿宋" w:hAnsi="仿宋" w:eastAsia="仿宋" w:cs="仿宋"/>
          <w:bCs/>
          <w:sz w:val="32"/>
          <w:szCs w:val="32"/>
        </w:rPr>
        <w:t>十一、</w:t>
      </w:r>
      <w:r>
        <w:rPr>
          <w:rFonts w:hint="eastAsia" w:ascii="仿宋" w:hAnsi="仿宋" w:eastAsia="仿宋" w:cs="仿宋"/>
          <w:bCs/>
          <w:w w:val="91"/>
          <w:sz w:val="32"/>
          <w:szCs w:val="32"/>
        </w:rPr>
        <w:t>国有资本经营预算财政拨款“三公”经费支出决算情况说明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0</w:t>
      </w:r>
    </w:p>
    <w:p>
      <w:pPr>
        <w:pStyle w:val="9"/>
        <w:tabs>
          <w:tab w:val="right" w:leader="dot" w:pos="8306"/>
        </w:tabs>
        <w:ind w:left="0" w:leftChars="0"/>
        <w:rPr>
          <w:rFonts w:ascii="仿宋" w:hAnsi="仿宋" w:eastAsia="仿宋" w:cs="仿宋"/>
          <w:sz w:val="32"/>
          <w:szCs w:val="32"/>
        </w:rPr>
      </w:pPr>
      <w:r>
        <w:rPr>
          <w:rFonts w:hint="eastAsia" w:ascii="仿宋" w:hAnsi="仿宋" w:eastAsia="仿宋" w:cs="仿宋"/>
          <w:bCs/>
          <w:sz w:val="32"/>
          <w:szCs w:val="32"/>
        </w:rPr>
        <w:t>十二、预算绩效情况说明</w:t>
      </w:r>
      <w:r>
        <w:rPr>
          <w:rFonts w:hint="eastAsia" w:ascii="仿宋" w:hAnsi="仿宋" w:eastAsia="仿宋" w:cs="仿宋"/>
          <w:sz w:val="32"/>
          <w:szCs w:val="32"/>
        </w:rPr>
        <w:tab/>
      </w:r>
    </w:p>
    <w:p>
      <w:pPr>
        <w:pStyle w:val="9"/>
        <w:tabs>
          <w:tab w:val="right" w:leader="dot" w:pos="8306"/>
        </w:tabs>
        <w:ind w:left="0" w:leftChars="0"/>
        <w:rPr>
          <w:rFonts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11</w:t>
      </w:r>
    </w:p>
    <w:p>
      <w:pPr>
        <w:pStyle w:val="9"/>
        <w:tabs>
          <w:tab w:val="right" w:leader="dot" w:pos="8306"/>
        </w:tabs>
        <w:ind w:left="0" w:leftChars="0"/>
        <w:rPr>
          <w:rFonts w:ascii="仿宋" w:hAnsi="仿宋" w:eastAsia="仿宋" w:cs="仿宋"/>
          <w:sz w:val="32"/>
          <w:szCs w:val="32"/>
        </w:rPr>
      </w:pPr>
      <w:r>
        <w:fldChar w:fldCharType="begin"/>
      </w:r>
      <w:r>
        <w:instrText xml:space="preserve"> HYPERLINK \l "_Toc19535_WPSOffice_Level2" </w:instrText>
      </w:r>
      <w:r>
        <w:fldChar w:fldCharType="separate"/>
      </w:r>
      <w:r>
        <w:rPr>
          <w:rFonts w:hint="eastAsia" w:ascii="仿宋" w:hAnsi="仿宋" w:eastAsia="仿宋" w:cs="仿宋"/>
          <w:bCs/>
          <w:sz w:val="32"/>
          <w:szCs w:val="32"/>
        </w:rPr>
        <w:t>十三、其他重要事项情况说明</w:t>
      </w:r>
      <w:r>
        <w:rPr>
          <w:rFonts w:hint="eastAsia" w:ascii="仿宋" w:hAnsi="仿宋" w:eastAsia="仿宋" w:cs="仿宋"/>
          <w:sz w:val="32"/>
          <w:szCs w:val="32"/>
        </w:rPr>
        <w:tab/>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t>2</w:t>
      </w:r>
    </w:p>
    <w:p>
      <w:pPr>
        <w:rPr>
          <w:rFonts w:ascii="仿宋" w:hAnsi="仿宋" w:eastAsia="仿宋" w:cs="仿宋"/>
          <w:sz w:val="32"/>
          <w:szCs w:val="32"/>
        </w:rPr>
      </w:pPr>
      <w:r>
        <w:rPr>
          <w:rFonts w:hint="eastAsia" w:ascii="仿宋" w:hAnsi="仿宋" w:eastAsia="仿宋" w:cs="仿宋"/>
          <w:sz w:val="32"/>
          <w:szCs w:val="32"/>
        </w:rPr>
        <w:tab/>
      </w:r>
      <w:r>
        <w:rPr>
          <w:sz w:val="32"/>
          <w:szCs w:val="32"/>
        </w:rPr>
        <w:tab/>
      </w:r>
    </w:p>
    <w:p>
      <w:pPr>
        <w:pStyle w:val="9"/>
        <w:tabs>
          <w:tab w:val="right" w:leader="dot" w:pos="8306"/>
        </w:tabs>
        <w:ind w:left="0" w:leftChars="0"/>
        <w:rPr>
          <w:rFonts w:ascii="仿宋" w:hAnsi="仿宋" w:eastAsia="仿宋" w:cs="仿宋"/>
          <w:sz w:val="32"/>
          <w:szCs w:val="32"/>
        </w:rPr>
      </w:pPr>
    </w:p>
    <w:p>
      <w:pPr>
        <w:pStyle w:val="8"/>
        <w:tabs>
          <w:tab w:val="right" w:leader="dot" w:pos="8306"/>
        </w:tabs>
        <w:rPr>
          <w:sz w:val="32"/>
          <w:szCs w:val="32"/>
        </w:rPr>
      </w:pPr>
      <w:r>
        <w:fldChar w:fldCharType="begin"/>
      </w:r>
      <w:r>
        <w:instrText xml:space="preserve"> HYPERLINK \l "_Toc15425_WPSOffice_Level1" </w:instrText>
      </w:r>
      <w:r>
        <w:fldChar w:fldCharType="separate"/>
      </w:r>
      <w:r>
        <w:rPr>
          <w:rFonts w:hint="eastAsia" w:ascii="黑体" w:hAnsi="ˎ̥" w:eastAsia="黑体"/>
          <w:sz w:val="32"/>
          <w:szCs w:val="32"/>
        </w:rPr>
        <w:t>第四部分  名词解释</w:t>
      </w:r>
      <w:r>
        <w:rPr>
          <w:sz w:val="32"/>
          <w:szCs w:val="32"/>
        </w:rPr>
        <w:tab/>
      </w:r>
      <w:r>
        <w:rPr>
          <w:rFonts w:hint="eastAsia"/>
          <w:sz w:val="32"/>
          <w:szCs w:val="32"/>
        </w:rPr>
        <w:t>1</w:t>
      </w:r>
      <w:r>
        <w:rPr>
          <w:rFonts w:hint="eastAsia"/>
          <w:sz w:val="32"/>
          <w:szCs w:val="32"/>
        </w:rPr>
        <w:fldChar w:fldCharType="end"/>
      </w:r>
      <w:bookmarkEnd w:id="0"/>
      <w:r>
        <w:rPr>
          <w:rFonts w:hint="eastAsia"/>
          <w:sz w:val="32"/>
          <w:szCs w:val="32"/>
        </w:rPr>
        <w:t>3</w:t>
      </w:r>
    </w:p>
    <w:p>
      <w:pPr>
        <w:jc w:val="left"/>
        <w:rPr>
          <w:rFonts w:ascii="黑体" w:hAnsi="黑体" w:eastAsia="黑体" w:cs="黑体"/>
          <w:sz w:val="32"/>
          <w:szCs w:val="32"/>
        </w:rPr>
      </w:pPr>
    </w:p>
    <w:p>
      <w:pPr>
        <w:jc w:val="center"/>
        <w:rPr>
          <w:rFonts w:ascii="黑体" w:hAnsi="ˎ̥" w:eastAsia="黑体"/>
          <w:b/>
          <w:sz w:val="32"/>
          <w:szCs w:val="32"/>
        </w:rPr>
      </w:pPr>
    </w:p>
    <w:p>
      <w:pPr>
        <w:jc w:val="center"/>
        <w:rPr>
          <w:rFonts w:ascii="黑体" w:hAnsi="ˎ̥" w:eastAsia="黑体"/>
          <w:b/>
          <w:sz w:val="32"/>
          <w:szCs w:val="32"/>
        </w:rPr>
      </w:pPr>
    </w:p>
    <w:p>
      <w:pPr>
        <w:jc w:val="center"/>
        <w:rPr>
          <w:rFonts w:ascii="黑体" w:hAnsi="ˎ̥" w:eastAsia="黑体"/>
          <w:b/>
          <w:sz w:val="32"/>
          <w:szCs w:val="32"/>
        </w:rPr>
      </w:pPr>
    </w:p>
    <w:p>
      <w:pPr>
        <w:jc w:val="center"/>
        <w:rPr>
          <w:rFonts w:ascii="黑体" w:hAnsi="ˎ̥" w:eastAsia="黑体"/>
          <w:b/>
          <w:sz w:val="32"/>
          <w:szCs w:val="32"/>
        </w:rPr>
      </w:pPr>
    </w:p>
    <w:p>
      <w:pPr>
        <w:jc w:val="center"/>
        <w:rPr>
          <w:rFonts w:ascii="黑体" w:hAnsi="ˎ̥" w:eastAsia="黑体"/>
          <w:b/>
          <w:sz w:val="32"/>
          <w:szCs w:val="32"/>
        </w:rPr>
      </w:pPr>
    </w:p>
    <w:p>
      <w:pPr>
        <w:jc w:val="center"/>
        <w:rPr>
          <w:rFonts w:ascii="黑体" w:hAnsi="ˎ̥" w:eastAsia="黑体"/>
          <w:b/>
          <w:sz w:val="32"/>
          <w:szCs w:val="32"/>
        </w:rPr>
      </w:pPr>
    </w:p>
    <w:p>
      <w:pPr>
        <w:jc w:val="center"/>
        <w:rPr>
          <w:rFonts w:ascii="楷体" w:hAnsi="楷体" w:eastAsia="楷体" w:cs="楷体"/>
          <w:sz w:val="32"/>
          <w:szCs w:val="32"/>
        </w:rPr>
      </w:pPr>
      <w:bookmarkStart w:id="1" w:name="_Toc10049_WPSOffice_Level1"/>
      <w:bookmarkStart w:id="2" w:name="_Toc20205_WPSOffice_Level2"/>
      <w:bookmarkStart w:id="3" w:name="_Toc20274_WPSOffice_Level2"/>
      <w:bookmarkStart w:id="4" w:name="_Toc24238_WPSOffice_Level2"/>
      <w:bookmarkStart w:id="5" w:name="_Toc26580_WPSOffice_Level2"/>
      <w:bookmarkStart w:id="6" w:name="_Toc23465_WPSOffice_Level1"/>
      <w:bookmarkStart w:id="7" w:name="_Toc10720_WPSOffice_Level1"/>
      <w:bookmarkStart w:id="8" w:name="_Toc32433_WPSOffice_Level1"/>
      <w:bookmarkStart w:id="9" w:name="_Toc22941_WPSOffice_Level1"/>
      <w:bookmarkStart w:id="10" w:name="_Toc32622_WPSOffice_Level2"/>
      <w:bookmarkStart w:id="11" w:name="_Toc14159_WPSOffice_Level2"/>
      <w:bookmarkStart w:id="12" w:name="_Toc1704_WPSOffice_Level1"/>
      <w:r>
        <w:rPr>
          <w:rFonts w:hint="eastAsia" w:ascii="黑体" w:hAnsi="ˎ̥" w:eastAsia="黑体"/>
          <w:sz w:val="32"/>
          <w:szCs w:val="32"/>
        </w:rPr>
        <w:t>第一部分  部门概</w:t>
      </w:r>
      <w:bookmarkEnd w:id="1"/>
      <w:bookmarkEnd w:id="2"/>
      <w:bookmarkEnd w:id="3"/>
      <w:bookmarkEnd w:id="4"/>
      <w:bookmarkEnd w:id="5"/>
      <w:bookmarkEnd w:id="6"/>
      <w:bookmarkEnd w:id="7"/>
      <w:bookmarkEnd w:id="8"/>
      <w:bookmarkEnd w:id="9"/>
      <w:bookmarkEnd w:id="10"/>
      <w:bookmarkEnd w:id="11"/>
      <w:bookmarkEnd w:id="12"/>
      <w:r>
        <w:rPr>
          <w:rFonts w:hint="eastAsia" w:ascii="黑体" w:hAnsi="ˎ̥" w:eastAsia="黑体"/>
          <w:sz w:val="32"/>
          <w:szCs w:val="32"/>
        </w:rPr>
        <w:t>况</w:t>
      </w:r>
    </w:p>
    <w:p>
      <w:pPr>
        <w:jc w:val="center"/>
        <w:rPr>
          <w:rFonts w:ascii="黑体" w:hAnsi="ˎ̥" w:eastAsia="黑体"/>
          <w:b/>
          <w:sz w:val="32"/>
          <w:szCs w:val="32"/>
        </w:rPr>
      </w:pPr>
    </w:p>
    <w:p>
      <w:pPr>
        <w:jc w:val="center"/>
        <w:rPr>
          <w:rFonts w:ascii="黑体" w:hAnsi="ˎ̥" w:eastAsia="黑体"/>
          <w:sz w:val="32"/>
          <w:szCs w:val="32"/>
        </w:rPr>
      </w:pPr>
      <w:r>
        <w:rPr>
          <w:rFonts w:hint="eastAsia" w:ascii="黑体" w:hAnsi="ˎ̥" w:eastAsia="黑体"/>
          <w:sz w:val="32"/>
          <w:szCs w:val="32"/>
        </w:rPr>
        <w:t>第一部分  秀英区旅文局概况</w:t>
      </w:r>
    </w:p>
    <w:p>
      <w:pPr>
        <w:ind w:firstLine="640" w:firstLineChars="200"/>
        <w:rPr>
          <w:rFonts w:ascii="楷体" w:hAnsi="楷体" w:eastAsia="楷体" w:cs="楷体"/>
          <w:sz w:val="32"/>
          <w:szCs w:val="32"/>
        </w:rPr>
      </w:pPr>
    </w:p>
    <w:p>
      <w:pPr>
        <w:numPr>
          <w:ilvl w:val="0"/>
          <w:numId w:val="1"/>
        </w:numPr>
        <w:ind w:firstLine="640"/>
        <w:rPr>
          <w:rFonts w:ascii="黑体" w:hAnsi="黑体" w:eastAsia="黑体" w:cs="黑体"/>
          <w:sz w:val="32"/>
          <w:szCs w:val="32"/>
        </w:rPr>
      </w:pPr>
      <w:r>
        <w:rPr>
          <w:rFonts w:hint="eastAsia" w:ascii="黑体" w:hAnsi="黑体" w:eastAsia="黑体" w:cs="黑体"/>
          <w:sz w:val="32"/>
          <w:szCs w:val="32"/>
        </w:rPr>
        <w:t>部门职责</w:t>
      </w:r>
    </w:p>
    <w:p>
      <w:pPr>
        <w:widowControl/>
        <w:spacing w:before="100" w:beforeAutospacing="1" w:after="100" w:afterAutospacing="1" w:line="590" w:lineRule="atLeast"/>
        <w:jc w:val="left"/>
        <w:rPr>
          <w:rFonts w:ascii="仿宋" w:hAnsi="仿宋" w:eastAsia="仿宋" w:cs="仿宋"/>
          <w:kern w:val="0"/>
          <w:sz w:val="32"/>
          <w:szCs w:val="32"/>
        </w:rPr>
      </w:pPr>
      <w:r>
        <w:rPr>
          <w:rFonts w:hint="eastAsia" w:ascii="黑体" w:hAnsi="黑体" w:eastAsia="黑体" w:cs="黑体"/>
          <w:sz w:val="32"/>
          <w:szCs w:val="32"/>
        </w:rPr>
        <w:t>　</w:t>
      </w:r>
      <w:bookmarkStart w:id="13" w:name="_Toc6234_WPSOffice_Level1"/>
      <w:bookmarkStart w:id="14" w:name="_Toc30690_WPSOffice_Level1"/>
      <w:bookmarkStart w:id="15" w:name="_Toc30451_WPSOffice_Level1"/>
      <w:bookmarkStart w:id="16" w:name="_Toc8164_WPSOffice_Level1"/>
      <w:bookmarkStart w:id="17" w:name="_Toc28253_WPSOffice_Level1"/>
      <w:bookmarkStart w:id="18" w:name="_Toc15521_WPSOffice_Level1"/>
      <w:bookmarkStart w:id="19" w:name="_Toc6211_WPSOffice_Level2"/>
      <w:bookmarkStart w:id="20" w:name="_Toc32695_WPSOffice_Level2"/>
      <w:bookmarkStart w:id="21" w:name="_Toc8867_WPSOffice_Level2"/>
      <w:bookmarkStart w:id="22" w:name="_Toc32472_WPSOffice_Level2"/>
      <w:bookmarkStart w:id="23" w:name="_Toc4029_WPSOffice_Level2"/>
      <w:bookmarkStart w:id="24" w:name="_Toc11518_WPSOffice_Level2"/>
      <w:r>
        <w:rPr>
          <w:rFonts w:ascii="Calibri" w:hAnsi="Calibri"/>
          <w:color w:val="000000"/>
          <w:kern w:val="0"/>
          <w:sz w:val="24"/>
          <w:shd w:val="clear" w:color="auto" w:fill="FFFFFF"/>
        </w:rPr>
        <w:t>　</w:t>
      </w:r>
      <w:r>
        <w:rPr>
          <w:rFonts w:hint="eastAsia" w:ascii="仿宋" w:hAnsi="仿宋" w:eastAsia="仿宋" w:cs="仿宋"/>
          <w:kern w:val="0"/>
          <w:sz w:val="32"/>
          <w:szCs w:val="32"/>
        </w:rPr>
        <w:t>一、主要职责</w:t>
      </w:r>
    </w:p>
    <w:p>
      <w:pPr>
        <w:widowControl/>
        <w:spacing w:before="100" w:beforeAutospacing="1" w:after="100" w:afterAutospacing="1" w:line="590" w:lineRule="atLeast"/>
        <w:jc w:val="left"/>
        <w:rPr>
          <w:rFonts w:ascii="仿宋" w:hAnsi="仿宋" w:eastAsia="仿宋" w:cs="仿宋"/>
          <w:kern w:val="0"/>
          <w:sz w:val="32"/>
          <w:szCs w:val="32"/>
        </w:rPr>
      </w:pPr>
      <w:r>
        <w:rPr>
          <w:rFonts w:hint="eastAsia" w:ascii="仿宋" w:hAnsi="仿宋" w:eastAsia="仿宋" w:cs="仿宋"/>
          <w:kern w:val="0"/>
          <w:sz w:val="32"/>
          <w:szCs w:val="32"/>
        </w:rPr>
        <w:t>　　（一）宣传贯彻执行国家、省、市有关文化体育和旅游工作的方针政策、法律、法规和规章，依法拟定组织实施本区文化体育、旅游发展的中长期规划、年度计划。</w:t>
      </w:r>
    </w:p>
    <w:p>
      <w:pPr>
        <w:widowControl/>
        <w:spacing w:before="100" w:beforeAutospacing="1" w:after="100" w:afterAutospacing="1" w:line="590" w:lineRule="atLeast"/>
        <w:jc w:val="left"/>
        <w:rPr>
          <w:rFonts w:ascii="仿宋" w:hAnsi="仿宋" w:eastAsia="仿宋" w:cs="仿宋"/>
          <w:kern w:val="0"/>
          <w:sz w:val="32"/>
          <w:szCs w:val="32"/>
        </w:rPr>
      </w:pPr>
      <w:r>
        <w:rPr>
          <w:rFonts w:hint="eastAsia" w:ascii="仿宋" w:hAnsi="仿宋" w:eastAsia="仿宋" w:cs="仿宋"/>
          <w:kern w:val="0"/>
          <w:sz w:val="32"/>
          <w:szCs w:val="32"/>
        </w:rPr>
        <w:t>　　（二）根据上级有关文化、体育工作的法规和政策，结合本区实际，组织、研究制订全区文化、体育事业的长期规划，年度执行计划并制定措施和组织实施，指导和推动全区文化、体育改革，组织经验交流。</w:t>
      </w:r>
    </w:p>
    <w:p>
      <w:pPr>
        <w:widowControl/>
        <w:spacing w:before="100" w:beforeAutospacing="1" w:after="100" w:afterAutospacing="1" w:line="590" w:lineRule="atLeast"/>
        <w:jc w:val="left"/>
        <w:rPr>
          <w:rFonts w:ascii="仿宋" w:hAnsi="仿宋" w:eastAsia="仿宋" w:cs="仿宋"/>
          <w:kern w:val="0"/>
          <w:sz w:val="32"/>
          <w:szCs w:val="32"/>
        </w:rPr>
      </w:pPr>
      <w:r>
        <w:rPr>
          <w:rFonts w:hint="eastAsia" w:ascii="仿宋" w:hAnsi="仿宋" w:eastAsia="仿宋" w:cs="仿宋"/>
          <w:kern w:val="0"/>
          <w:sz w:val="32"/>
          <w:szCs w:val="32"/>
        </w:rPr>
        <w:t>　　（三）组织和参加市、省乃至国家举办的文化、体育竞赛和文化艺术活动，指导和管理文化体育系统及民间文化体育交流活动。</w:t>
      </w:r>
    </w:p>
    <w:p>
      <w:pPr>
        <w:widowControl/>
        <w:spacing w:before="100" w:beforeAutospacing="1" w:after="100" w:afterAutospacing="1" w:line="590" w:lineRule="atLeast"/>
        <w:jc w:val="left"/>
        <w:rPr>
          <w:rFonts w:ascii="仿宋" w:hAnsi="仿宋" w:eastAsia="仿宋" w:cs="仿宋"/>
          <w:kern w:val="0"/>
          <w:sz w:val="32"/>
          <w:szCs w:val="32"/>
        </w:rPr>
      </w:pPr>
      <w:r>
        <w:rPr>
          <w:rFonts w:hint="eastAsia" w:ascii="仿宋" w:hAnsi="仿宋" w:eastAsia="仿宋" w:cs="仿宋"/>
          <w:kern w:val="0"/>
          <w:sz w:val="32"/>
          <w:szCs w:val="32"/>
        </w:rPr>
        <w:t>　　（四）推行全民健身计划纲要实施。指导全区各部门、各行业、各社团团体积极开展群众性体育活动；制定全区性体育竞赛计划；负责规划全区运动项目布局，指导全区体育竞赛和业余训练工作。</w:t>
      </w:r>
    </w:p>
    <w:p>
      <w:pPr>
        <w:widowControl/>
        <w:spacing w:before="100" w:beforeAutospacing="1" w:after="100" w:afterAutospacing="1" w:line="590" w:lineRule="atLeast"/>
        <w:jc w:val="left"/>
        <w:rPr>
          <w:rFonts w:ascii="仿宋" w:hAnsi="仿宋" w:eastAsia="仿宋" w:cs="仿宋"/>
          <w:kern w:val="0"/>
          <w:sz w:val="32"/>
          <w:szCs w:val="32"/>
        </w:rPr>
      </w:pPr>
      <w:r>
        <w:rPr>
          <w:rFonts w:hint="eastAsia" w:ascii="仿宋" w:hAnsi="仿宋" w:eastAsia="仿宋" w:cs="仿宋"/>
          <w:kern w:val="0"/>
          <w:sz w:val="32"/>
          <w:szCs w:val="32"/>
        </w:rPr>
        <w:t>　　（五）依法管理社会文化市场，管理全区演出、电影、出版、图书、音像、文物、体育、包装装潢印刷品印刷经营市场，指导文化市场行政执法工作和执法队伍建设；负责对依法设立的互联网上网服务营业场所经营单位经营活动监督管理；加强“扫黄”、“打非”，维护市场秩序。</w:t>
      </w:r>
    </w:p>
    <w:p>
      <w:pPr>
        <w:widowControl/>
        <w:spacing w:before="100" w:beforeAutospacing="1" w:after="100" w:afterAutospacing="1" w:line="590" w:lineRule="atLeast"/>
        <w:jc w:val="left"/>
        <w:rPr>
          <w:rFonts w:ascii="仿宋" w:hAnsi="仿宋" w:eastAsia="仿宋" w:cs="仿宋"/>
          <w:kern w:val="0"/>
          <w:sz w:val="32"/>
          <w:szCs w:val="32"/>
        </w:rPr>
      </w:pPr>
      <w:r>
        <w:rPr>
          <w:rFonts w:hint="eastAsia" w:ascii="仿宋" w:hAnsi="仿宋" w:eastAsia="仿宋" w:cs="仿宋"/>
          <w:kern w:val="0"/>
          <w:sz w:val="32"/>
          <w:szCs w:val="32"/>
        </w:rPr>
        <w:t>　　（六）负责全区营业性演出审批管理（涉外演出及由市委市政府扶持的精品演出审批除外）；负责辖区2000平方米以下歌舞娱乐场所审批管理;负责辖区互联网上网服务营业场所（连锁网吧审批管理除外）等审批管理工作。</w:t>
      </w:r>
    </w:p>
    <w:p>
      <w:pPr>
        <w:widowControl/>
        <w:spacing w:before="100" w:beforeAutospacing="1" w:after="100" w:afterAutospacing="1" w:line="590" w:lineRule="atLeast"/>
        <w:jc w:val="left"/>
        <w:rPr>
          <w:rFonts w:ascii="仿宋" w:hAnsi="仿宋" w:eastAsia="仿宋" w:cs="仿宋"/>
          <w:kern w:val="0"/>
          <w:sz w:val="32"/>
          <w:szCs w:val="32"/>
        </w:rPr>
      </w:pPr>
      <w:r>
        <w:rPr>
          <w:rFonts w:hint="eastAsia" w:ascii="仿宋" w:hAnsi="仿宋" w:eastAsia="仿宋" w:cs="仿宋"/>
          <w:kern w:val="0"/>
          <w:sz w:val="32"/>
          <w:szCs w:val="32"/>
        </w:rPr>
        <w:t>　　（七）做好文物和非物质文化遗产的保护及开发利用工作。</w:t>
      </w:r>
    </w:p>
    <w:p>
      <w:pPr>
        <w:widowControl/>
        <w:spacing w:before="100" w:beforeAutospacing="1" w:after="100" w:afterAutospacing="1" w:line="590" w:lineRule="atLeast"/>
        <w:jc w:val="left"/>
        <w:rPr>
          <w:rFonts w:ascii="仿宋" w:hAnsi="仿宋" w:eastAsia="仿宋" w:cs="仿宋"/>
          <w:kern w:val="0"/>
          <w:sz w:val="32"/>
          <w:szCs w:val="32"/>
        </w:rPr>
      </w:pPr>
      <w:r>
        <w:rPr>
          <w:rFonts w:hint="eastAsia" w:ascii="仿宋" w:hAnsi="仿宋" w:eastAsia="仿宋" w:cs="仿宋"/>
          <w:kern w:val="0"/>
          <w:sz w:val="32"/>
          <w:szCs w:val="32"/>
        </w:rPr>
        <w:t>　　（八）负责全区旅游行业的管理。负责辖区旅游市场管理与监督（导游证的颁发与吊销除外）；负责三星级（含三星级）以下旅游饭店星级复核：监督检查全区旅游市场，维护旅游者和旅游业经营者的合法权益。</w:t>
      </w:r>
    </w:p>
    <w:p>
      <w:pPr>
        <w:widowControl/>
        <w:spacing w:before="100" w:beforeAutospacing="1" w:after="100" w:afterAutospacing="1" w:line="590" w:lineRule="atLeast"/>
        <w:jc w:val="left"/>
        <w:rPr>
          <w:rFonts w:ascii="仿宋" w:hAnsi="仿宋" w:eastAsia="仿宋" w:cs="仿宋"/>
          <w:kern w:val="0"/>
          <w:sz w:val="32"/>
          <w:szCs w:val="32"/>
        </w:rPr>
      </w:pPr>
      <w:r>
        <w:rPr>
          <w:rFonts w:hint="eastAsia" w:ascii="仿宋" w:hAnsi="仿宋" w:eastAsia="仿宋" w:cs="仿宋"/>
          <w:kern w:val="0"/>
          <w:sz w:val="32"/>
          <w:szCs w:val="32"/>
        </w:rPr>
        <w:t>　　（九）指导假日旅游、特色旅游、乡村生态旅游工作。</w:t>
      </w:r>
    </w:p>
    <w:p>
      <w:pPr>
        <w:widowControl/>
        <w:spacing w:before="100" w:beforeAutospacing="1" w:after="100" w:afterAutospacing="1" w:line="590" w:lineRule="atLeast"/>
        <w:jc w:val="left"/>
        <w:rPr>
          <w:rFonts w:ascii="仿宋" w:hAnsi="仿宋" w:eastAsia="仿宋" w:cs="仿宋"/>
          <w:kern w:val="0"/>
          <w:sz w:val="32"/>
          <w:szCs w:val="32"/>
        </w:rPr>
      </w:pPr>
      <w:r>
        <w:rPr>
          <w:rFonts w:hint="eastAsia" w:ascii="仿宋" w:hAnsi="仿宋" w:eastAsia="仿宋" w:cs="仿宋"/>
          <w:kern w:val="0"/>
          <w:sz w:val="32"/>
          <w:szCs w:val="32"/>
        </w:rPr>
        <w:t>　　（十）配合相关部门做好旅游安全工作，应对旅游突发公共事件，承担职责范围内旅游应急救援工作；监督检查旅游保险的实施。</w:t>
      </w:r>
    </w:p>
    <w:p>
      <w:pPr>
        <w:widowControl/>
        <w:spacing w:before="100" w:beforeAutospacing="1" w:after="100" w:afterAutospacing="1" w:line="590" w:lineRule="atLeast"/>
        <w:jc w:val="left"/>
        <w:rPr>
          <w:rFonts w:ascii="仿宋" w:hAnsi="仿宋" w:eastAsia="仿宋" w:cs="仿宋"/>
          <w:kern w:val="0"/>
          <w:sz w:val="32"/>
          <w:szCs w:val="32"/>
        </w:rPr>
      </w:pPr>
      <w:r>
        <w:rPr>
          <w:rFonts w:hint="eastAsia" w:ascii="仿宋" w:hAnsi="仿宋" w:eastAsia="仿宋" w:cs="仿宋"/>
          <w:kern w:val="0"/>
          <w:sz w:val="32"/>
          <w:szCs w:val="32"/>
        </w:rPr>
        <w:t>　　（十一）负责对文化体育、旅游产业从业人员的培训的教育，与区教育局协调配合积极培养文化体育后备人才。</w:t>
      </w:r>
    </w:p>
    <w:p>
      <w:pPr>
        <w:widowControl/>
        <w:spacing w:before="100" w:beforeAutospacing="1" w:after="100" w:afterAutospacing="1" w:line="590" w:lineRule="atLeast"/>
        <w:jc w:val="left"/>
        <w:rPr>
          <w:rFonts w:ascii="仿宋" w:hAnsi="仿宋" w:eastAsia="仿宋" w:cs="仿宋"/>
          <w:kern w:val="0"/>
          <w:sz w:val="32"/>
          <w:szCs w:val="32"/>
        </w:rPr>
      </w:pPr>
      <w:r>
        <w:rPr>
          <w:rFonts w:hint="eastAsia" w:ascii="仿宋" w:hAnsi="仿宋" w:eastAsia="仿宋" w:cs="仿宋"/>
          <w:kern w:val="0"/>
          <w:sz w:val="32"/>
          <w:szCs w:val="32"/>
        </w:rPr>
        <w:t>　　（十二）负责对所属事业单位贯彻执行上级方针政策、法律、法规和规章的情况进行检查监督，协同有关部门监管其非经营性国有资产。</w:t>
      </w:r>
    </w:p>
    <w:p>
      <w:pPr>
        <w:widowControl/>
        <w:spacing w:before="100" w:beforeAutospacing="1" w:after="100" w:afterAutospacing="1" w:line="590" w:lineRule="atLeast"/>
        <w:jc w:val="left"/>
        <w:rPr>
          <w:rFonts w:ascii="仿宋" w:hAnsi="仿宋" w:eastAsia="仿宋" w:cs="仿宋"/>
          <w:kern w:val="0"/>
          <w:sz w:val="32"/>
          <w:szCs w:val="32"/>
        </w:rPr>
      </w:pPr>
      <w:r>
        <w:rPr>
          <w:rFonts w:hint="eastAsia" w:ascii="仿宋" w:hAnsi="仿宋" w:eastAsia="仿宋" w:cs="仿宋"/>
          <w:kern w:val="0"/>
          <w:sz w:val="32"/>
          <w:szCs w:val="32"/>
        </w:rPr>
        <w:t>　　（十三）做好辖区文化、体育和旅游的统计工作、及时掌握相关数据，了解辖区文化、体育和旅游业的发展状况。</w:t>
      </w:r>
    </w:p>
    <w:p>
      <w:pPr>
        <w:widowControl/>
        <w:ind w:firstLine="645"/>
        <w:jc w:val="left"/>
        <w:rPr>
          <w:rFonts w:ascii="仿宋" w:hAnsi="仿宋" w:eastAsia="仿宋" w:cs="仿宋"/>
          <w:kern w:val="0"/>
          <w:sz w:val="32"/>
          <w:szCs w:val="32"/>
        </w:rPr>
      </w:pPr>
      <w:r>
        <w:rPr>
          <w:rFonts w:hint="eastAsia" w:ascii="仿宋" w:hAnsi="仿宋" w:eastAsia="仿宋" w:cs="仿宋"/>
          <w:kern w:val="0"/>
          <w:sz w:val="32"/>
          <w:szCs w:val="32"/>
        </w:rPr>
        <w:t>（十四）承办区委、区政府和上级部门交办的其他工作</w:t>
      </w:r>
    </w:p>
    <w:p>
      <w:pPr>
        <w:widowControl/>
        <w:spacing w:before="100" w:beforeAutospacing="1" w:after="100" w:afterAutospacing="1" w:line="590" w:lineRule="atLeast"/>
        <w:jc w:val="left"/>
        <w:rPr>
          <w:rFonts w:ascii="仿宋" w:hAnsi="仿宋" w:eastAsia="仿宋" w:cs="仿宋"/>
          <w:kern w:val="0"/>
          <w:sz w:val="32"/>
          <w:szCs w:val="32"/>
        </w:rPr>
      </w:pPr>
      <w:r>
        <w:rPr>
          <w:rFonts w:hint="eastAsia" w:ascii="仿宋" w:hAnsi="仿宋" w:eastAsia="仿宋" w:cs="仿宋"/>
          <w:kern w:val="0"/>
          <w:sz w:val="32"/>
          <w:szCs w:val="32"/>
        </w:rPr>
        <w:t>二、内设机构</w:t>
      </w:r>
    </w:p>
    <w:p>
      <w:pPr>
        <w:widowControl/>
        <w:spacing w:before="100" w:beforeAutospacing="1" w:after="100" w:afterAutospacing="1" w:line="590" w:lineRule="atLeast"/>
        <w:jc w:val="left"/>
        <w:rPr>
          <w:rFonts w:ascii="仿宋" w:hAnsi="仿宋" w:eastAsia="仿宋" w:cs="仿宋"/>
          <w:kern w:val="0"/>
          <w:sz w:val="32"/>
          <w:szCs w:val="32"/>
        </w:rPr>
      </w:pPr>
      <w:r>
        <w:rPr>
          <w:rFonts w:hint="eastAsia" w:ascii="仿宋" w:hAnsi="仿宋" w:eastAsia="仿宋" w:cs="仿宋"/>
          <w:kern w:val="0"/>
          <w:sz w:val="32"/>
          <w:szCs w:val="32"/>
        </w:rPr>
        <w:t>　　根据上述主要职责和《中共海口市委办公厅、海口市人民政府办公厅关于印发《海口市秀英区人民政府机构改革方案》的通知》（</w:t>
      </w:r>
      <w:r>
        <w:rPr>
          <w:rFonts w:hint="eastAsia"/>
          <w:sz w:val="28"/>
          <w:szCs w:val="28"/>
        </w:rPr>
        <w:t>秀办发</w:t>
      </w:r>
      <w:r>
        <w:rPr>
          <w:rFonts w:hint="eastAsia" w:ascii="宋体" w:hAnsi="宋体"/>
          <w:sz w:val="28"/>
          <w:szCs w:val="28"/>
        </w:rPr>
        <w:t>〔2019〕27号</w:t>
      </w:r>
      <w:r>
        <w:rPr>
          <w:rFonts w:hint="eastAsia" w:ascii="仿宋" w:hAnsi="仿宋" w:eastAsia="仿宋" w:cs="仿宋"/>
          <w:kern w:val="0"/>
          <w:sz w:val="32"/>
          <w:szCs w:val="32"/>
        </w:rPr>
        <w:t>，海口市秀英区文化体育和旅游发展局不设内设职能机构。</w:t>
      </w:r>
    </w:p>
    <w:p>
      <w:pPr>
        <w:widowControl/>
        <w:spacing w:before="100" w:beforeAutospacing="1" w:after="100" w:afterAutospacing="1" w:line="590" w:lineRule="atLeast"/>
        <w:jc w:val="left"/>
        <w:rPr>
          <w:rFonts w:ascii="仿宋" w:hAnsi="仿宋" w:eastAsia="仿宋" w:cs="仿宋"/>
          <w:kern w:val="0"/>
          <w:sz w:val="32"/>
          <w:szCs w:val="32"/>
        </w:rPr>
      </w:pPr>
      <w:r>
        <w:rPr>
          <w:rFonts w:hint="eastAsia" w:ascii="仿宋" w:hAnsi="仿宋" w:eastAsia="仿宋" w:cs="仿宋"/>
          <w:kern w:val="0"/>
          <w:sz w:val="32"/>
          <w:szCs w:val="32"/>
        </w:rPr>
        <w:t>　　三、人员编制和领导指数</w:t>
      </w:r>
    </w:p>
    <w:p>
      <w:pPr>
        <w:widowControl/>
        <w:spacing w:before="100" w:beforeAutospacing="1" w:after="100" w:afterAutospacing="1" w:line="590" w:lineRule="atLeast"/>
        <w:ind w:firstLine="640"/>
        <w:jc w:val="left"/>
        <w:rPr>
          <w:rFonts w:ascii="仿宋" w:hAnsi="仿宋" w:eastAsia="仿宋" w:cs="仿宋"/>
          <w:kern w:val="0"/>
          <w:sz w:val="32"/>
          <w:szCs w:val="32"/>
        </w:rPr>
      </w:pPr>
      <w:r>
        <w:rPr>
          <w:rFonts w:hint="eastAsia" w:ascii="仿宋" w:hAnsi="仿宋" w:eastAsia="仿宋" w:cs="仿宋"/>
          <w:kern w:val="0"/>
          <w:sz w:val="32"/>
          <w:szCs w:val="32"/>
        </w:rPr>
        <w:t>1.核定海口市秀英区旅游和文化体育局行政编制8名，其中：局长1名，副局长2名。非领导职数按《公务员法》有关规定核定。事业编制6名，其中：馆长2名。</w:t>
      </w:r>
    </w:p>
    <w:p>
      <w:pPr>
        <w:widowControl/>
        <w:spacing w:before="100" w:beforeAutospacing="1" w:after="100" w:afterAutospacing="1" w:line="590" w:lineRule="atLeast"/>
        <w:ind w:firstLine="640"/>
        <w:jc w:val="left"/>
        <w:rPr>
          <w:rFonts w:ascii="仿宋" w:hAnsi="仿宋" w:eastAsia="仿宋" w:cs="仿宋"/>
          <w:kern w:val="0"/>
          <w:sz w:val="32"/>
          <w:szCs w:val="32"/>
        </w:rPr>
      </w:pPr>
      <w:r>
        <w:rPr>
          <w:rFonts w:hint="eastAsia" w:ascii="仿宋" w:hAnsi="仿宋" w:eastAsia="仿宋" w:cs="仿宋"/>
          <w:kern w:val="0"/>
          <w:sz w:val="32"/>
          <w:szCs w:val="32"/>
        </w:rPr>
        <w:t>2.部门（单位）构成</w:t>
      </w:r>
    </w:p>
    <w:p>
      <w:pPr>
        <w:widowControl/>
        <w:spacing w:before="100" w:beforeAutospacing="1" w:after="100" w:afterAutospacing="1" w:line="590" w:lineRule="atLeast"/>
        <w:ind w:firstLine="640"/>
        <w:jc w:val="left"/>
        <w:rPr>
          <w:rFonts w:ascii="仿宋" w:hAnsi="仿宋" w:eastAsia="仿宋" w:cs="仿宋"/>
          <w:kern w:val="0"/>
          <w:sz w:val="32"/>
          <w:szCs w:val="32"/>
        </w:rPr>
      </w:pPr>
      <w:r>
        <w:rPr>
          <w:rFonts w:hint="eastAsia" w:ascii="仿宋" w:hAnsi="仿宋" w:eastAsia="仿宋" w:cs="仿宋"/>
          <w:kern w:val="0"/>
          <w:sz w:val="32"/>
          <w:szCs w:val="32"/>
        </w:rPr>
        <w:t>秀英区旅文局部门设办公室，图书馆，文化馆。另：区老体协、区诗词对联协会。</w:t>
      </w:r>
    </w:p>
    <w:p>
      <w:pPr>
        <w:spacing w:line="560" w:lineRule="exact"/>
        <w:jc w:val="center"/>
        <w:rPr>
          <w:rFonts w:ascii="黑体" w:hAnsi="ˎ̥" w:eastAsia="黑体"/>
          <w:sz w:val="32"/>
          <w:szCs w:val="32"/>
        </w:rPr>
      </w:pPr>
      <w:r>
        <w:rPr>
          <w:rFonts w:hint="eastAsia" w:ascii="黑体" w:hAnsi="ˎ̥" w:eastAsia="黑体"/>
          <w:sz w:val="32"/>
          <w:szCs w:val="32"/>
        </w:rPr>
        <w:t>第二部分  秀英区旅文局2022年度部门决算公开报表</w:t>
      </w:r>
      <w:bookmarkEnd w:id="13"/>
      <w:bookmarkEnd w:id="14"/>
      <w:bookmarkEnd w:id="15"/>
      <w:bookmarkEnd w:id="16"/>
      <w:bookmarkEnd w:id="17"/>
      <w:bookmarkEnd w:id="18"/>
    </w:p>
    <w:p>
      <w:pPr>
        <w:spacing w:line="560" w:lineRule="exact"/>
        <w:jc w:val="center"/>
        <w:rPr>
          <w:rFonts w:ascii="黑体" w:hAnsi="ˎ̥" w:eastAsia="黑体"/>
          <w:sz w:val="32"/>
          <w:szCs w:val="32"/>
        </w:rPr>
      </w:pPr>
    </w:p>
    <w:p>
      <w:pPr>
        <w:spacing w:line="560" w:lineRule="exact"/>
        <w:ind w:firstLine="645"/>
        <w:rPr>
          <w:rFonts w:ascii="黑体" w:hAnsi="黑体" w:eastAsia="黑体" w:cs="黑体"/>
          <w:sz w:val="32"/>
          <w:szCs w:val="32"/>
        </w:rPr>
      </w:pPr>
      <w:r>
        <w:rPr>
          <w:rFonts w:hint="eastAsia" w:ascii="黑体" w:hAnsi="黑体" w:eastAsia="黑体" w:cs="黑体"/>
          <w:sz w:val="32"/>
          <w:szCs w:val="32"/>
        </w:rPr>
        <w:t>一、收入支出决算公开表（见正文附件）</w:t>
      </w:r>
      <w:bookmarkEnd w:id="19"/>
      <w:bookmarkEnd w:id="20"/>
      <w:bookmarkEnd w:id="21"/>
      <w:r>
        <w:rPr>
          <w:rFonts w:hint="eastAsia" w:ascii="黑体" w:hAnsi="黑体" w:eastAsia="黑体" w:cs="黑体"/>
          <w:sz w:val="32"/>
          <w:szCs w:val="32"/>
        </w:rPr>
        <w:t>。</w:t>
      </w:r>
      <w:bookmarkEnd w:id="22"/>
      <w:bookmarkEnd w:id="23"/>
      <w:bookmarkEnd w:id="24"/>
    </w:p>
    <w:p>
      <w:pPr>
        <w:spacing w:line="560" w:lineRule="exact"/>
        <w:ind w:firstLine="645"/>
        <w:rPr>
          <w:rFonts w:ascii="黑体" w:hAnsi="黑体" w:eastAsia="黑体" w:cs="黑体"/>
          <w:sz w:val="32"/>
          <w:szCs w:val="32"/>
        </w:rPr>
      </w:pPr>
      <w:bookmarkStart w:id="25" w:name="_Toc25608_WPSOffice_Level2"/>
      <w:bookmarkStart w:id="26" w:name="_Toc26621_WPSOffice_Level2"/>
      <w:bookmarkStart w:id="27" w:name="_Toc23139_WPSOffice_Level2"/>
      <w:bookmarkStart w:id="28" w:name="_Toc28622_WPSOffice_Level2"/>
      <w:bookmarkStart w:id="29" w:name="_Toc30334_WPSOffice_Level2"/>
      <w:bookmarkStart w:id="30" w:name="_Toc14349_WPSOffice_Level2"/>
      <w:r>
        <w:rPr>
          <w:rFonts w:hint="eastAsia" w:ascii="黑体" w:hAnsi="黑体" w:eastAsia="黑体" w:cs="黑体"/>
          <w:sz w:val="32"/>
          <w:szCs w:val="32"/>
        </w:rPr>
        <w:t>二、收入决算公开表（见正文附件）</w:t>
      </w:r>
      <w:bookmarkEnd w:id="25"/>
      <w:bookmarkEnd w:id="26"/>
      <w:bookmarkEnd w:id="27"/>
      <w:r>
        <w:rPr>
          <w:rFonts w:hint="eastAsia" w:ascii="黑体" w:hAnsi="黑体" w:eastAsia="黑体" w:cs="黑体"/>
          <w:sz w:val="32"/>
          <w:szCs w:val="32"/>
        </w:rPr>
        <w:t>。</w:t>
      </w:r>
      <w:bookmarkEnd w:id="28"/>
      <w:bookmarkEnd w:id="29"/>
      <w:bookmarkEnd w:id="30"/>
    </w:p>
    <w:p>
      <w:pPr>
        <w:spacing w:line="560" w:lineRule="exact"/>
        <w:ind w:firstLine="645"/>
        <w:rPr>
          <w:rFonts w:ascii="黑体" w:hAnsi="黑体" w:eastAsia="黑体" w:cs="黑体"/>
          <w:sz w:val="32"/>
          <w:szCs w:val="32"/>
        </w:rPr>
      </w:pPr>
      <w:bookmarkStart w:id="31" w:name="_Toc3262_WPSOffice_Level2"/>
      <w:bookmarkStart w:id="32" w:name="_Toc17626_WPSOffice_Level2"/>
      <w:bookmarkStart w:id="33" w:name="_Toc17858_WPSOffice_Level2"/>
      <w:bookmarkStart w:id="34" w:name="_Toc14658_WPSOffice_Level2"/>
      <w:bookmarkStart w:id="35" w:name="_Toc5489_WPSOffice_Level2"/>
      <w:bookmarkStart w:id="36" w:name="_Toc13854_WPSOffice_Level2"/>
      <w:r>
        <w:rPr>
          <w:rFonts w:hint="eastAsia" w:ascii="黑体" w:hAnsi="黑体" w:eastAsia="黑体" w:cs="黑体"/>
          <w:sz w:val="32"/>
          <w:szCs w:val="32"/>
        </w:rPr>
        <w:t>三、支出决算公开表（见正文附件）</w:t>
      </w:r>
      <w:bookmarkEnd w:id="31"/>
      <w:bookmarkEnd w:id="32"/>
      <w:bookmarkEnd w:id="33"/>
      <w:r>
        <w:rPr>
          <w:rFonts w:hint="eastAsia" w:ascii="黑体" w:hAnsi="黑体" w:eastAsia="黑体" w:cs="黑体"/>
          <w:sz w:val="32"/>
          <w:szCs w:val="32"/>
        </w:rPr>
        <w:t>。</w:t>
      </w:r>
      <w:bookmarkEnd w:id="34"/>
      <w:bookmarkEnd w:id="35"/>
      <w:bookmarkEnd w:id="36"/>
    </w:p>
    <w:p>
      <w:pPr>
        <w:spacing w:line="560" w:lineRule="exact"/>
        <w:ind w:firstLine="645"/>
        <w:rPr>
          <w:rFonts w:ascii="黑体" w:hAnsi="黑体" w:eastAsia="黑体" w:cs="黑体"/>
          <w:sz w:val="32"/>
          <w:szCs w:val="32"/>
        </w:rPr>
      </w:pPr>
      <w:bookmarkStart w:id="37" w:name="_Toc23591_WPSOffice_Level2"/>
      <w:bookmarkStart w:id="38" w:name="_Toc21415_WPSOffice_Level2"/>
      <w:bookmarkStart w:id="39" w:name="_Toc13701_WPSOffice_Level2"/>
      <w:bookmarkStart w:id="40" w:name="_Toc7988_WPSOffice_Level2"/>
      <w:bookmarkStart w:id="41" w:name="_Toc4265_WPSOffice_Level2"/>
      <w:bookmarkStart w:id="42" w:name="_Toc23493_WPSOffice_Level2"/>
      <w:r>
        <w:rPr>
          <w:rFonts w:hint="eastAsia" w:ascii="黑体" w:hAnsi="黑体" w:eastAsia="黑体" w:cs="黑体"/>
          <w:sz w:val="32"/>
          <w:szCs w:val="32"/>
        </w:rPr>
        <w:t>四、财政拨款收入支出决算公开表（见正文附件）</w:t>
      </w:r>
      <w:bookmarkEnd w:id="37"/>
      <w:bookmarkEnd w:id="38"/>
      <w:bookmarkEnd w:id="39"/>
      <w:r>
        <w:rPr>
          <w:rFonts w:hint="eastAsia" w:ascii="黑体" w:hAnsi="黑体" w:eastAsia="黑体" w:cs="黑体"/>
          <w:sz w:val="32"/>
          <w:szCs w:val="32"/>
        </w:rPr>
        <w:t>。</w:t>
      </w:r>
      <w:bookmarkEnd w:id="40"/>
      <w:bookmarkEnd w:id="41"/>
      <w:bookmarkEnd w:id="42"/>
    </w:p>
    <w:p>
      <w:pPr>
        <w:spacing w:line="560" w:lineRule="exact"/>
        <w:ind w:firstLine="645"/>
        <w:rPr>
          <w:rFonts w:ascii="黑体" w:hAnsi="黑体" w:eastAsia="黑体" w:cs="黑体"/>
          <w:sz w:val="32"/>
          <w:szCs w:val="32"/>
        </w:rPr>
      </w:pPr>
      <w:bookmarkStart w:id="43" w:name="_Toc25166_WPSOffice_Level2"/>
      <w:bookmarkStart w:id="44" w:name="_Toc7879_WPSOffice_Level2"/>
      <w:bookmarkStart w:id="45" w:name="_Toc23829_WPSOffice_Level2"/>
      <w:bookmarkStart w:id="46" w:name="_Toc22783_WPSOffice_Level2"/>
      <w:bookmarkStart w:id="47" w:name="_Toc13516_WPSOffice_Level2"/>
      <w:bookmarkStart w:id="48" w:name="_Toc2158_WPSOffice_Level2"/>
      <w:r>
        <w:rPr>
          <w:rFonts w:hint="eastAsia" w:ascii="黑体" w:hAnsi="黑体" w:eastAsia="黑体" w:cs="黑体"/>
          <w:sz w:val="32"/>
          <w:szCs w:val="32"/>
        </w:rPr>
        <w:t>五、一般公共预算财政拨款收入支出决算公开表</w:t>
      </w:r>
      <w:bookmarkEnd w:id="43"/>
      <w:bookmarkEnd w:id="44"/>
      <w:bookmarkEnd w:id="45"/>
      <w:bookmarkEnd w:id="46"/>
    </w:p>
    <w:p>
      <w:pPr>
        <w:spacing w:line="560" w:lineRule="exact"/>
        <w:ind w:firstLine="1302" w:firstLineChars="407"/>
        <w:rPr>
          <w:rFonts w:ascii="黑体" w:hAnsi="黑体" w:eastAsia="黑体" w:cs="黑体"/>
          <w:sz w:val="32"/>
          <w:szCs w:val="32"/>
        </w:rPr>
      </w:pPr>
      <w:r>
        <w:rPr>
          <w:rFonts w:hint="eastAsia" w:ascii="黑体" w:hAnsi="黑体" w:eastAsia="黑体" w:cs="黑体"/>
          <w:sz w:val="32"/>
          <w:szCs w:val="32"/>
        </w:rPr>
        <w:t>（见正文附件）</w:t>
      </w:r>
      <w:bookmarkEnd w:id="47"/>
      <w:bookmarkEnd w:id="48"/>
      <w:r>
        <w:rPr>
          <w:rFonts w:hint="eastAsia" w:ascii="黑体" w:hAnsi="黑体" w:eastAsia="黑体" w:cs="黑体"/>
          <w:sz w:val="32"/>
          <w:szCs w:val="32"/>
        </w:rPr>
        <w:t>。</w:t>
      </w:r>
    </w:p>
    <w:p>
      <w:pPr>
        <w:spacing w:line="560" w:lineRule="exact"/>
        <w:ind w:firstLine="645"/>
        <w:rPr>
          <w:rFonts w:ascii="黑体" w:hAnsi="黑体" w:eastAsia="黑体" w:cs="黑体"/>
          <w:sz w:val="32"/>
          <w:szCs w:val="32"/>
        </w:rPr>
      </w:pPr>
      <w:bookmarkStart w:id="49" w:name="_Toc17283_WPSOffice_Level2"/>
      <w:bookmarkStart w:id="50" w:name="_Toc8373_WPSOffice_Level2"/>
      <w:bookmarkStart w:id="51" w:name="_Toc17833_WPSOffice_Level2"/>
      <w:bookmarkStart w:id="52" w:name="_Toc25362_WPSOffice_Level2"/>
      <w:bookmarkStart w:id="53" w:name="_Toc5343_WPSOffice_Level2"/>
      <w:bookmarkStart w:id="54" w:name="_Toc2632_WPSOffice_Level2"/>
      <w:r>
        <w:rPr>
          <w:rFonts w:hint="eastAsia" w:ascii="黑体" w:hAnsi="黑体" w:eastAsia="黑体" w:cs="黑体"/>
          <w:sz w:val="32"/>
          <w:szCs w:val="32"/>
        </w:rPr>
        <w:t>六、一般公共预算财政拨款基本支出决算公开表</w:t>
      </w:r>
      <w:bookmarkEnd w:id="49"/>
      <w:bookmarkEnd w:id="50"/>
      <w:bookmarkEnd w:id="51"/>
      <w:bookmarkEnd w:id="52"/>
      <w:bookmarkEnd w:id="53"/>
      <w:bookmarkEnd w:id="54"/>
    </w:p>
    <w:p>
      <w:pPr>
        <w:spacing w:line="560" w:lineRule="exact"/>
        <w:ind w:firstLine="1280" w:firstLineChars="400"/>
        <w:rPr>
          <w:rFonts w:ascii="黑体" w:hAnsi="黑体" w:eastAsia="黑体" w:cs="黑体"/>
          <w:sz w:val="32"/>
          <w:szCs w:val="32"/>
        </w:rPr>
      </w:pPr>
      <w:r>
        <w:rPr>
          <w:rFonts w:hint="eastAsia" w:ascii="黑体" w:hAnsi="黑体" w:eastAsia="黑体" w:cs="黑体"/>
          <w:sz w:val="32"/>
          <w:szCs w:val="32"/>
        </w:rPr>
        <w:t>（见正文附件）。</w:t>
      </w:r>
    </w:p>
    <w:p>
      <w:pPr>
        <w:spacing w:line="560" w:lineRule="exact"/>
        <w:ind w:left="1118" w:leftChars="304" w:hanging="480" w:hangingChars="150"/>
        <w:rPr>
          <w:rFonts w:ascii="黑体" w:hAnsi="黑体" w:eastAsia="黑体" w:cs="黑体"/>
          <w:sz w:val="32"/>
          <w:szCs w:val="32"/>
        </w:rPr>
      </w:pPr>
      <w:bookmarkStart w:id="55" w:name="_Toc5594_WPSOffice_Level2"/>
      <w:bookmarkStart w:id="56" w:name="_Toc13345_WPSOffice_Level2"/>
      <w:bookmarkStart w:id="57" w:name="_Toc11799_WPSOffice_Level2"/>
      <w:bookmarkStart w:id="58" w:name="_Toc6020_WPSOffice_Level2"/>
      <w:bookmarkStart w:id="59" w:name="_Toc21310_WPSOffice_Level2"/>
      <w:bookmarkStart w:id="60" w:name="_Toc1533_WPSOffice_Level2"/>
      <w:r>
        <w:rPr>
          <w:rFonts w:hint="eastAsia" w:ascii="黑体" w:hAnsi="黑体" w:eastAsia="黑体" w:cs="黑体"/>
          <w:sz w:val="32"/>
          <w:szCs w:val="32"/>
        </w:rPr>
        <w:t>七、政府性基金预算财政拨款收入支出决算公开表</w:t>
      </w:r>
      <w:bookmarkEnd w:id="55"/>
      <w:bookmarkEnd w:id="56"/>
      <w:bookmarkEnd w:id="57"/>
      <w:bookmarkEnd w:id="58"/>
      <w:bookmarkEnd w:id="59"/>
      <w:bookmarkEnd w:id="60"/>
    </w:p>
    <w:p>
      <w:pPr>
        <w:spacing w:line="560" w:lineRule="exact"/>
        <w:ind w:left="1277" w:leftChars="608" w:firstLine="160" w:firstLineChars="50"/>
        <w:rPr>
          <w:rFonts w:ascii="黑体" w:hAnsi="黑体" w:eastAsia="黑体" w:cs="黑体"/>
          <w:sz w:val="32"/>
          <w:szCs w:val="32"/>
        </w:rPr>
      </w:pPr>
      <w:r>
        <w:rPr>
          <w:rFonts w:hint="eastAsia" w:ascii="黑体" w:hAnsi="黑体" w:eastAsia="黑体" w:cs="黑体"/>
          <w:sz w:val="32"/>
          <w:szCs w:val="32"/>
        </w:rPr>
        <w:t>（见正文附件）。</w:t>
      </w:r>
    </w:p>
    <w:p>
      <w:pPr>
        <w:spacing w:line="560" w:lineRule="exact"/>
        <w:rPr>
          <w:rFonts w:ascii="黑体" w:hAnsi="黑体" w:eastAsia="黑体" w:cs="黑体"/>
          <w:sz w:val="32"/>
          <w:szCs w:val="32"/>
        </w:rPr>
      </w:pPr>
      <w:bookmarkStart w:id="61" w:name="_Toc19961_WPSOffice_Level2"/>
      <w:bookmarkStart w:id="62" w:name="_Toc9377_WPSOffice_Level2"/>
      <w:bookmarkStart w:id="63" w:name="_Toc1820_WPSOffice_Level2"/>
      <w:bookmarkStart w:id="64" w:name="_Toc29886_WPSOffice_Level2"/>
      <w:r>
        <w:rPr>
          <w:rFonts w:hint="eastAsia" w:ascii="黑体" w:hAnsi="黑体" w:eastAsia="黑体" w:cs="黑体"/>
          <w:sz w:val="32"/>
          <w:szCs w:val="32"/>
        </w:rPr>
        <w:t xml:space="preserve">    八、一般公共预算财政拨款“三公”经费支出决算</w:t>
      </w:r>
    </w:p>
    <w:p>
      <w:pPr>
        <w:spacing w:line="560" w:lineRule="exact"/>
        <w:rPr>
          <w:rFonts w:ascii="黑体" w:hAnsi="黑体" w:eastAsia="黑体" w:cs="黑体"/>
          <w:sz w:val="32"/>
          <w:szCs w:val="32"/>
        </w:rPr>
      </w:pPr>
      <w:r>
        <w:rPr>
          <w:rFonts w:hint="eastAsia" w:ascii="黑体" w:hAnsi="黑体" w:eastAsia="黑体" w:cs="黑体"/>
          <w:sz w:val="32"/>
          <w:szCs w:val="32"/>
        </w:rPr>
        <w:t xml:space="preserve">          公开表</w:t>
      </w:r>
      <w:bookmarkEnd w:id="61"/>
      <w:bookmarkEnd w:id="62"/>
      <w:bookmarkEnd w:id="63"/>
      <w:bookmarkEnd w:id="64"/>
      <w:r>
        <w:rPr>
          <w:rFonts w:hint="eastAsia" w:ascii="黑体" w:hAnsi="黑体" w:eastAsia="黑体" w:cs="黑体"/>
          <w:sz w:val="32"/>
          <w:szCs w:val="32"/>
        </w:rPr>
        <w:t>（见正文附件）。</w:t>
      </w:r>
    </w:p>
    <w:p>
      <w:pPr>
        <w:spacing w:line="560" w:lineRule="exact"/>
        <w:rPr>
          <w:rFonts w:ascii="黑体" w:hAnsi="黑体" w:eastAsia="黑体" w:cs="黑体"/>
          <w:w w:val="96"/>
          <w:sz w:val="32"/>
          <w:szCs w:val="32"/>
        </w:rPr>
      </w:pPr>
      <w:r>
        <w:rPr>
          <w:rFonts w:hint="eastAsia" w:ascii="黑体" w:hAnsi="黑体" w:eastAsia="黑体" w:cs="黑体"/>
          <w:w w:val="96"/>
          <w:sz w:val="32"/>
          <w:szCs w:val="32"/>
        </w:rPr>
        <w:t xml:space="preserve">    九、政府性基金预算财政拨款“三公”经费支出决算</w:t>
      </w:r>
    </w:p>
    <w:p>
      <w:pPr>
        <w:spacing w:line="560" w:lineRule="exact"/>
        <w:rPr>
          <w:rFonts w:ascii="黑体" w:hAnsi="黑体" w:eastAsia="黑体" w:cs="黑体"/>
          <w:sz w:val="32"/>
          <w:szCs w:val="32"/>
        </w:rPr>
      </w:pPr>
      <w:r>
        <w:rPr>
          <w:rFonts w:hint="eastAsia" w:ascii="黑体" w:hAnsi="黑体" w:eastAsia="黑体" w:cs="黑体"/>
          <w:w w:val="96"/>
          <w:sz w:val="32"/>
          <w:szCs w:val="32"/>
        </w:rPr>
        <w:t xml:space="preserve">          公开表</w:t>
      </w:r>
      <w:r>
        <w:rPr>
          <w:rFonts w:hint="eastAsia" w:ascii="黑体" w:hAnsi="黑体" w:eastAsia="黑体" w:cs="黑体"/>
          <w:sz w:val="32"/>
          <w:szCs w:val="32"/>
        </w:rPr>
        <w:t>（见正文附件）。</w:t>
      </w:r>
    </w:p>
    <w:p>
      <w:pPr>
        <w:spacing w:line="560" w:lineRule="exact"/>
        <w:jc w:val="center"/>
        <w:rPr>
          <w:rFonts w:ascii="黑体" w:hAnsi="ˎ̥" w:eastAsia="黑体"/>
          <w:sz w:val="32"/>
          <w:szCs w:val="32"/>
        </w:rPr>
      </w:pPr>
      <w:bookmarkStart w:id="65" w:name="_Toc31264_WPSOffice_Level1"/>
      <w:bookmarkStart w:id="66" w:name="_Toc4402_WPSOffice_Level1"/>
      <w:bookmarkStart w:id="67" w:name="_Toc29683_WPSOffice_Level1"/>
      <w:bookmarkStart w:id="68" w:name="_Toc16686_WPSOffice_Level1"/>
      <w:bookmarkStart w:id="69" w:name="_Toc27590_WPSOffice_Level1"/>
      <w:bookmarkStart w:id="70" w:name="_Toc28629_WPSOffice_Level1"/>
      <w:r>
        <w:rPr>
          <w:rFonts w:hint="eastAsia" w:ascii="黑体" w:hAnsi="ˎ̥" w:eastAsia="黑体"/>
          <w:sz w:val="32"/>
          <w:szCs w:val="32"/>
        </w:rPr>
        <w:t>第三部分  秀英区旅文局2022年度部门决算情况说明</w:t>
      </w:r>
      <w:bookmarkEnd w:id="65"/>
      <w:bookmarkEnd w:id="66"/>
      <w:bookmarkEnd w:id="67"/>
      <w:bookmarkEnd w:id="68"/>
      <w:bookmarkEnd w:id="69"/>
      <w:bookmarkEnd w:id="70"/>
    </w:p>
    <w:p>
      <w:pPr>
        <w:spacing w:line="560" w:lineRule="exact"/>
        <w:ind w:firstLine="640" w:firstLineChars="200"/>
        <w:jc w:val="left"/>
        <w:rPr>
          <w:rFonts w:ascii="仿宋_GB2312" w:hAnsi="ˎ̥" w:eastAsia="仿宋_GB2312"/>
          <w:sz w:val="32"/>
          <w:szCs w:val="32"/>
        </w:rPr>
      </w:pPr>
      <w:r>
        <w:rPr>
          <w:rFonts w:hint="eastAsia" w:ascii="黑体" w:hAnsi="黑体" w:eastAsia="黑体" w:cs="黑体"/>
          <w:bCs/>
          <w:sz w:val="32"/>
          <w:szCs w:val="32"/>
        </w:rPr>
        <w:t>一、收入支出决算总体情况说明</w:t>
      </w:r>
      <w:r>
        <w:rPr>
          <w:rFonts w:hint="eastAsia" w:ascii="黑体" w:hAnsi="黑体" w:eastAsia="黑体" w:cs="黑体"/>
          <w:bCs/>
          <w:sz w:val="32"/>
          <w:szCs w:val="32"/>
        </w:rPr>
        <w:br w:type="textWrapping"/>
      </w:r>
      <w:r>
        <w:rPr>
          <w:rFonts w:hint="eastAsia" w:ascii="楷体_GB2312" w:hAnsi="ˎ̥" w:eastAsia="楷体_GB2312"/>
          <w:sz w:val="32"/>
          <w:szCs w:val="32"/>
        </w:rPr>
        <w:t xml:space="preserve">    </w:t>
      </w:r>
      <w:r>
        <w:rPr>
          <w:rFonts w:hint="eastAsia" w:ascii="仿宋_GB2312" w:hAnsi="ˎ̥" w:eastAsia="仿宋_GB2312"/>
          <w:sz w:val="32"/>
          <w:szCs w:val="32"/>
        </w:rPr>
        <w:t>2022年度收入总计1448.99万元、支出总计1448.89万元，与2021年度相比，收入增加447.38</w:t>
      </w:r>
      <w:r>
        <w:rPr>
          <w:rFonts w:hint="eastAsia" w:ascii="仿宋_GB2312" w:hAnsi="ˎ̥" w:eastAsia="仿宋_GB2312"/>
          <w:sz w:val="32"/>
          <w:szCs w:val="32"/>
        </w:rPr>
        <w:tab/>
      </w:r>
      <w:r>
        <w:rPr>
          <w:rFonts w:hint="eastAsia" w:ascii="仿宋_GB2312" w:hAnsi="ˎ̥" w:eastAsia="仿宋_GB2312"/>
          <w:sz w:val="32"/>
          <w:szCs w:val="32"/>
        </w:rPr>
        <w:t>万元，上升44.67%；支出增加430.06万元，下降42.21%。主要原因：一是其他收入增加；二是财政补款收增加。</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用事业基金弥补收支差额0万元，主要原因是无预算安排。年初结转结余0.1元，主要是有跨年度未支付的项目尾款等，较2021年度年初决算数减少17.35 万元，下降99.42%，主要原因是2022年初结转和结余金额小，跨年度项目未支付的尾款较少。结余分配0万元，主要原因是2021年度没有结余分配。年末结转结余0.19万元，主要是项目支出结转和结余，较2021年度年末结转结余增加0.09万元，上升47.37%，主要原因是2022年度项目支出结转和结余较多。</w:t>
      </w:r>
    </w:p>
    <w:p>
      <w:pPr>
        <w:spacing w:line="560" w:lineRule="exact"/>
        <w:ind w:firstLine="640" w:firstLineChars="200"/>
        <w:rPr>
          <w:rFonts w:ascii="仿宋_GB2312" w:hAnsi="ˎ̥" w:eastAsia="仿宋_GB2312"/>
          <w:sz w:val="32"/>
          <w:szCs w:val="32"/>
        </w:rPr>
      </w:pPr>
      <w:r>
        <w:rPr>
          <w:rFonts w:hint="eastAsia" w:ascii="黑体" w:hAnsi="黑体" w:eastAsia="黑体" w:cs="黑体"/>
          <w:bCs/>
          <w:sz w:val="32"/>
          <w:szCs w:val="32"/>
        </w:rPr>
        <w:t>二、收入决算情况说明</w:t>
      </w:r>
      <w:r>
        <w:rPr>
          <w:rFonts w:hint="eastAsia" w:ascii="黑体" w:hAnsi="黑体" w:eastAsia="黑体" w:cs="黑体"/>
          <w:bCs/>
          <w:sz w:val="32"/>
          <w:szCs w:val="32"/>
        </w:rPr>
        <w:br w:type="textWrapping"/>
      </w:r>
      <w:r>
        <w:rPr>
          <w:rFonts w:hint="eastAsia" w:ascii="仿宋_GB2312" w:hAnsi="ˎ̥" w:eastAsia="仿宋_GB2312"/>
          <w:sz w:val="32"/>
          <w:szCs w:val="32"/>
        </w:rPr>
        <w:t xml:space="preserve">    本年收入合计1448.99万元，其中：财政拨款收入1448.99万元，占100%；上级补助收入0万元，占0%；事业收入0万元，占0%；经营收入0万元，占0%；附属单位上缴收入0万元，占0%；其他收入0万元，占0%。</w:t>
      </w:r>
    </w:p>
    <w:p>
      <w:pPr>
        <w:spacing w:line="560" w:lineRule="exact"/>
        <w:ind w:firstLine="627" w:firstLineChars="196"/>
        <w:rPr>
          <w:rFonts w:ascii="黑体" w:hAnsi="黑体" w:eastAsia="黑体" w:cs="黑体"/>
          <w:bCs/>
          <w:sz w:val="32"/>
          <w:szCs w:val="32"/>
        </w:rPr>
      </w:pPr>
      <w:r>
        <w:rPr>
          <w:rFonts w:hint="eastAsia" w:ascii="黑体" w:hAnsi="黑体" w:eastAsia="黑体" w:cs="黑体"/>
          <w:bCs/>
          <w:sz w:val="32"/>
          <w:szCs w:val="32"/>
        </w:rPr>
        <w:t>三、支出决算情况说明</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本年支出合计1448.99万元，其中：基本支出247.88万元，占17.12%；项目支出1201.02万元，占82.88%；上缴上级支出0万元，占0%；经营支出0万元，占0%；对附属单位补助支出0万元，占0%。</w:t>
      </w:r>
    </w:p>
    <w:p>
      <w:pPr>
        <w:spacing w:line="560" w:lineRule="exact"/>
        <w:ind w:firstLine="627" w:firstLineChars="196"/>
        <w:rPr>
          <w:rFonts w:ascii="黑体" w:hAnsi="黑体" w:eastAsia="黑体" w:cs="黑体"/>
          <w:bCs/>
          <w:sz w:val="32"/>
          <w:szCs w:val="32"/>
        </w:rPr>
      </w:pPr>
      <w:r>
        <w:rPr>
          <w:rFonts w:hint="eastAsia" w:ascii="黑体" w:hAnsi="黑体" w:eastAsia="黑体" w:cs="黑体"/>
          <w:bCs/>
          <w:sz w:val="32"/>
          <w:szCs w:val="32"/>
        </w:rPr>
        <w:t>四、财政拨款收入支出决算总体情况说明</w:t>
      </w:r>
    </w:p>
    <w:p>
      <w:pPr>
        <w:spacing w:line="560" w:lineRule="exact"/>
        <w:ind w:firstLine="640" w:firstLineChars="200"/>
        <w:jc w:val="left"/>
        <w:rPr>
          <w:rFonts w:ascii="仿宋_GB2312" w:hAnsi="ˎ̥" w:eastAsia="仿宋_GB2312"/>
          <w:sz w:val="32"/>
          <w:szCs w:val="32"/>
        </w:rPr>
      </w:pPr>
      <w:r>
        <w:rPr>
          <w:rFonts w:hint="eastAsia" w:ascii="仿宋_GB2312" w:hAnsi="ˎ̥" w:eastAsia="仿宋_GB2312"/>
          <w:sz w:val="32"/>
          <w:szCs w:val="32"/>
        </w:rPr>
        <w:t>2022年度财政拨款收入总计1448.84万元、支出总计1448.84万元。与2021年度相比，财政拨款收入增加430.37万元，上升42.26%；支出总计增加430.37万元，下降42.2%。主要原因：一是其他收入增加；二是财政补款收入增加。</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财政拨款年初结转结余0万元，基本支出结转0万元，项目支出结转和结余0万元，主要是项目支出结转和结余，较2021年度年初决算数减少17.4万元，下降100%，主要原因是2021年初结转和结余金额大，跨年度项目尾款较多。</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财政拨款年末结转结余0万元，主要是项目支出结转和结余，较2021年度年末决算数减少0.1万元，减少100%，主要原因是2021年度项目支出结转和结余较多。</w:t>
      </w:r>
    </w:p>
    <w:p>
      <w:pPr>
        <w:spacing w:line="560" w:lineRule="exact"/>
        <w:ind w:firstLine="627" w:firstLineChars="196"/>
        <w:rPr>
          <w:rFonts w:ascii="黑体" w:hAnsi="黑体" w:eastAsia="黑体" w:cs="黑体"/>
          <w:bCs/>
          <w:sz w:val="32"/>
          <w:szCs w:val="32"/>
        </w:rPr>
      </w:pPr>
      <w:r>
        <w:rPr>
          <w:rFonts w:hint="eastAsia" w:ascii="黑体" w:hAnsi="黑体" w:eastAsia="黑体" w:cs="黑体"/>
          <w:bCs/>
          <w:sz w:val="32"/>
          <w:szCs w:val="32"/>
        </w:rPr>
        <w:t>五、一般公共预算财政拨款支出决算情况说明</w:t>
      </w:r>
    </w:p>
    <w:p>
      <w:pPr>
        <w:spacing w:line="560" w:lineRule="exact"/>
        <w:ind w:firstLine="640" w:firstLineChars="200"/>
        <w:rPr>
          <w:rFonts w:ascii="楷体" w:hAnsi="楷体" w:eastAsia="楷体" w:cs="楷体"/>
          <w:sz w:val="32"/>
          <w:szCs w:val="32"/>
        </w:rPr>
      </w:pPr>
      <w:bookmarkStart w:id="71" w:name="_Toc17398_WPSOffice_Level2"/>
      <w:bookmarkStart w:id="72" w:name="_Toc13694_WPSOffice_Level2"/>
      <w:bookmarkStart w:id="73" w:name="_Toc9989_WPSOffice_Level2"/>
      <w:bookmarkStart w:id="74" w:name="_Toc19665_WPSOffice_Level2"/>
      <w:bookmarkStart w:id="75" w:name="_Toc23005_WPSOffice_Level2"/>
      <w:bookmarkStart w:id="76" w:name="_Toc21737_WPSOffice_Level2"/>
      <w:r>
        <w:rPr>
          <w:rFonts w:hint="eastAsia" w:ascii="楷体" w:hAnsi="楷体" w:eastAsia="楷体" w:cs="楷体"/>
          <w:sz w:val="32"/>
          <w:szCs w:val="32"/>
        </w:rPr>
        <w:t>（一）一般公共预算财政拨款支出决算总体情况</w:t>
      </w:r>
      <w:bookmarkEnd w:id="71"/>
      <w:bookmarkEnd w:id="72"/>
      <w:r>
        <w:rPr>
          <w:rFonts w:hint="eastAsia" w:ascii="楷体" w:hAnsi="楷体" w:eastAsia="楷体" w:cs="楷体"/>
          <w:sz w:val="32"/>
          <w:szCs w:val="32"/>
        </w:rPr>
        <w:t>。</w:t>
      </w:r>
      <w:bookmarkEnd w:id="73"/>
      <w:bookmarkEnd w:id="74"/>
      <w:bookmarkEnd w:id="75"/>
      <w:bookmarkEnd w:id="76"/>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2022年度一般公共预算财政拨款支出1408.96万元，占本年支出合计的100%。与2021年度相比，财政拨款支出增加390.49万元，减少38.3%，主要原因是基本支出和项目支出增加。</w:t>
      </w:r>
    </w:p>
    <w:p>
      <w:pPr>
        <w:spacing w:line="560" w:lineRule="exact"/>
        <w:ind w:firstLine="640" w:firstLineChars="200"/>
        <w:rPr>
          <w:rFonts w:ascii="楷体" w:hAnsi="楷体" w:eastAsia="楷体" w:cs="楷体"/>
          <w:sz w:val="32"/>
          <w:szCs w:val="32"/>
        </w:rPr>
      </w:pPr>
      <w:bookmarkStart w:id="77" w:name="_Toc2711_WPSOffice_Level2"/>
      <w:bookmarkStart w:id="78" w:name="_Toc18793_WPSOffice_Level2"/>
      <w:bookmarkStart w:id="79" w:name="_Toc19535_WPSOffice_Level2"/>
      <w:bookmarkStart w:id="80" w:name="_Toc19075_WPSOffice_Level2"/>
      <w:bookmarkStart w:id="81" w:name="_Toc23864_WPSOffice_Level2"/>
      <w:bookmarkStart w:id="82" w:name="_Toc27767_WPSOffice_Level2"/>
      <w:r>
        <w:rPr>
          <w:rFonts w:hint="eastAsia" w:ascii="楷体" w:hAnsi="楷体" w:eastAsia="楷体" w:cs="楷体"/>
          <w:sz w:val="32"/>
          <w:szCs w:val="32"/>
        </w:rPr>
        <w:t>（二）财政拨款支出决算结构情况</w:t>
      </w:r>
      <w:bookmarkEnd w:id="77"/>
      <w:bookmarkEnd w:id="78"/>
      <w:r>
        <w:rPr>
          <w:rFonts w:hint="eastAsia" w:ascii="楷体" w:hAnsi="楷体" w:eastAsia="楷体" w:cs="楷体"/>
          <w:sz w:val="32"/>
          <w:szCs w:val="32"/>
        </w:rPr>
        <w:t>。</w:t>
      </w:r>
      <w:bookmarkEnd w:id="79"/>
      <w:bookmarkEnd w:id="80"/>
      <w:bookmarkEnd w:id="81"/>
      <w:bookmarkEnd w:id="82"/>
    </w:p>
    <w:p>
      <w:pPr>
        <w:spacing w:line="560" w:lineRule="exact"/>
        <w:ind w:firstLine="640" w:firstLineChars="200"/>
        <w:rPr>
          <w:rFonts w:ascii="楷体" w:hAnsi="楷体" w:eastAsia="楷体" w:cs="楷体"/>
          <w:sz w:val="32"/>
          <w:szCs w:val="32"/>
        </w:rPr>
      </w:pPr>
      <w:r>
        <w:rPr>
          <w:rFonts w:hint="eastAsia" w:ascii="仿宋_GB2312" w:hAnsi="ˎ̥" w:eastAsia="仿宋_GB2312"/>
          <w:sz w:val="32"/>
          <w:szCs w:val="32"/>
        </w:rPr>
        <w:t>2022年度一般公共预算财政拨款支出1408.96万元，主要用于以下方面：</w:t>
      </w:r>
      <w:r>
        <w:rPr>
          <w:rFonts w:hint="eastAsia" w:ascii="仿宋_GB2312" w:hAnsi="ˎ̥" w:eastAsia="仿宋_GB2312"/>
          <w:b/>
          <w:sz w:val="32"/>
          <w:szCs w:val="32"/>
        </w:rPr>
        <w:t>一般公共服务（类）</w:t>
      </w:r>
      <w:r>
        <w:rPr>
          <w:rFonts w:hint="eastAsia" w:ascii="仿宋_GB2312" w:hAnsi="ˎ̥" w:eastAsia="仿宋_GB2312"/>
          <w:sz w:val="32"/>
          <w:szCs w:val="32"/>
        </w:rPr>
        <w:t>支出2.44万元，占0.17%，其中；</w:t>
      </w:r>
      <w:r>
        <w:rPr>
          <w:rFonts w:hint="eastAsia" w:ascii="仿宋_GB2312" w:hAnsi="ˎ̥" w:eastAsia="仿宋_GB2312"/>
          <w:b/>
          <w:bCs/>
          <w:sz w:val="32"/>
          <w:szCs w:val="32"/>
        </w:rPr>
        <w:t>文化体育与传媒支出</w:t>
      </w:r>
      <w:r>
        <w:rPr>
          <w:rFonts w:hint="eastAsia" w:ascii="仿宋_GB2312" w:hAnsi="ˎ̥" w:eastAsia="仿宋_GB2312"/>
          <w:sz w:val="32"/>
          <w:szCs w:val="32"/>
        </w:rPr>
        <w:t>1337.12万元，占94.9%；</w:t>
      </w:r>
      <w:r>
        <w:rPr>
          <w:rFonts w:hint="eastAsia" w:ascii="仿宋_GB2312" w:hAnsi="ˎ̥" w:eastAsia="仿宋_GB2312"/>
          <w:b/>
          <w:sz w:val="32"/>
          <w:szCs w:val="32"/>
        </w:rPr>
        <w:t>社会保障和就业（类）</w:t>
      </w:r>
      <w:r>
        <w:rPr>
          <w:rFonts w:hint="eastAsia" w:ascii="仿宋_GB2312" w:hAnsi="ˎ̥" w:eastAsia="仿宋_GB2312"/>
          <w:sz w:val="32"/>
          <w:szCs w:val="32"/>
        </w:rPr>
        <w:t>支出27.08万元，占1.92%；</w:t>
      </w:r>
      <w:r>
        <w:rPr>
          <w:rFonts w:hint="eastAsia" w:ascii="仿宋_GB2312" w:hAnsi="ˎ̥" w:eastAsia="仿宋_GB2312"/>
          <w:b/>
          <w:bCs/>
          <w:sz w:val="32"/>
          <w:szCs w:val="32"/>
        </w:rPr>
        <w:t>卫生健康</w:t>
      </w:r>
      <w:r>
        <w:rPr>
          <w:rFonts w:hint="eastAsia" w:ascii="仿宋_GB2312" w:hAnsi="ˎ̥" w:eastAsia="仿宋_GB2312"/>
          <w:b/>
          <w:sz w:val="32"/>
          <w:szCs w:val="32"/>
        </w:rPr>
        <w:t>（类）</w:t>
      </w:r>
      <w:r>
        <w:rPr>
          <w:rFonts w:hint="eastAsia" w:ascii="仿宋_GB2312" w:hAnsi="ˎ̥" w:eastAsia="仿宋_GB2312"/>
          <w:sz w:val="32"/>
          <w:szCs w:val="32"/>
        </w:rPr>
        <w:t>支出25.9万元，占1.84%</w:t>
      </w:r>
      <w:r>
        <w:rPr>
          <w:rFonts w:hint="eastAsia" w:ascii="楷体" w:hAnsi="楷体" w:eastAsia="楷体" w:cs="楷体"/>
          <w:sz w:val="32"/>
          <w:szCs w:val="32"/>
        </w:rPr>
        <w:t>，</w:t>
      </w:r>
      <w:r>
        <w:rPr>
          <w:rFonts w:hint="eastAsia" w:ascii="仿宋_GB2312" w:hAnsi="ˎ̥" w:eastAsia="仿宋_GB2312"/>
          <w:b/>
          <w:bCs/>
          <w:sz w:val="32"/>
          <w:szCs w:val="32"/>
        </w:rPr>
        <w:t>住房保障（类）</w:t>
      </w:r>
      <w:r>
        <w:rPr>
          <w:rFonts w:hint="eastAsia" w:ascii="仿宋_GB2312" w:hAnsi="ˎ̥" w:eastAsia="仿宋_GB2312"/>
          <w:sz w:val="32"/>
          <w:szCs w:val="32"/>
        </w:rPr>
        <w:t>支出16.42万元，占1.17%。</w:t>
      </w:r>
    </w:p>
    <w:p>
      <w:pPr>
        <w:spacing w:line="560" w:lineRule="exact"/>
        <w:ind w:firstLine="640" w:firstLineChars="200"/>
        <w:rPr>
          <w:rFonts w:ascii="楷体" w:hAnsi="楷体" w:eastAsia="楷体" w:cs="楷体"/>
          <w:sz w:val="32"/>
          <w:szCs w:val="32"/>
        </w:rPr>
      </w:pPr>
      <w:r>
        <w:rPr>
          <w:rFonts w:hint="eastAsia" w:ascii="仿宋_GB2312" w:hAnsi="ˎ̥" w:eastAsia="仿宋_GB2312"/>
          <w:sz w:val="32"/>
          <w:szCs w:val="32"/>
        </w:rPr>
        <w:t>2022年度</w:t>
      </w:r>
      <w:r>
        <w:rPr>
          <w:rFonts w:hint="eastAsia" w:ascii="仿宋_GB2312" w:hAnsi="ˎ̥" w:eastAsia="仿宋_GB2312"/>
          <w:color w:val="000000" w:themeColor="text1"/>
          <w:sz w:val="32"/>
          <w:szCs w:val="32"/>
        </w:rPr>
        <w:t>财政拨款支出年初预算为1448.84</w:t>
      </w:r>
      <w:r>
        <w:rPr>
          <w:rFonts w:hint="eastAsia" w:ascii="仿宋_GB2312" w:hAnsi="ˎ̥" w:eastAsia="仿宋_GB2312"/>
          <w:sz w:val="32"/>
          <w:szCs w:val="32"/>
        </w:rPr>
        <w:t>万元，支出决算为1448.89万元，超年初预算0.05万元，决算数大于预算</w:t>
      </w:r>
      <w:r>
        <w:rPr>
          <w:rFonts w:hint="eastAsia" w:ascii="楷体" w:hAnsi="楷体" w:eastAsia="楷体" w:cs="楷体"/>
          <w:sz w:val="32"/>
          <w:szCs w:val="32"/>
        </w:rPr>
        <w:t>数，</w:t>
      </w:r>
      <w:r>
        <w:rPr>
          <w:rFonts w:hint="eastAsia" w:ascii="仿宋_GB2312" w:hAnsi="ˎ̥" w:eastAsia="仿宋_GB2312"/>
          <w:sz w:val="32"/>
          <w:szCs w:val="32"/>
        </w:rPr>
        <w:t>主要是项目支出占预算的差异率达80.14%</w:t>
      </w:r>
      <w:r>
        <w:rPr>
          <w:rFonts w:hint="eastAsia" w:ascii="楷体" w:hAnsi="楷体" w:eastAsia="楷体" w:cs="楷体"/>
          <w:sz w:val="32"/>
          <w:szCs w:val="32"/>
        </w:rPr>
        <w:t>。</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（三）一般公共预算财政拨款支出决算具体情况</w:t>
      </w:r>
    </w:p>
    <w:p>
      <w:pPr>
        <w:ind w:firstLine="640" w:firstLineChars="200"/>
        <w:rPr>
          <w:rFonts w:ascii="仿宋_GB2312" w:hAnsi="ˎ̥" w:eastAsia="仿宋_GB2312"/>
          <w:sz w:val="32"/>
          <w:szCs w:val="32"/>
        </w:rPr>
      </w:pPr>
      <w:r>
        <w:rPr>
          <w:rFonts w:hint="eastAsia" w:ascii="仿宋_GB2312" w:hAnsi="ˎ̥" w:eastAsia="仿宋_GB2312"/>
          <w:sz w:val="32"/>
          <w:szCs w:val="32"/>
        </w:rPr>
        <w:t>2022年度一般公共预算财政拨款支出年初预算为1448.84万元，支出决算为1408.96万元，完成年初预算的97.25%。其中：</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1.一般公共服务（类）人大事务、纪检检查事务、组织事务（款）事业运行、行政运行、其他组织事务支出（项）。</w:t>
      </w:r>
    </w:p>
    <w:p>
      <w:pPr>
        <w:ind w:firstLine="480" w:firstLineChars="150"/>
        <w:rPr>
          <w:rFonts w:hint="eastAsia" w:ascii="仿宋_GB2312" w:hAnsi="ˎ̥" w:eastAsia="仿宋_GB2312"/>
          <w:sz w:val="32"/>
          <w:szCs w:val="32"/>
        </w:rPr>
      </w:pPr>
      <w:r>
        <w:rPr>
          <w:rFonts w:hint="eastAsia" w:ascii="仿宋_GB2312" w:hAnsi="ˎ̥" w:eastAsia="仿宋_GB2312"/>
          <w:sz w:val="32"/>
          <w:szCs w:val="32"/>
        </w:rPr>
        <w:t>年初预算为2.44万元，支出决算2.44万元，主要用</w:t>
      </w:r>
    </w:p>
    <w:p>
      <w:pPr>
        <w:rPr>
          <w:rFonts w:ascii="仿宋_GB2312" w:hAnsi="ˎ̥" w:eastAsia="仿宋_GB2312"/>
          <w:sz w:val="32"/>
          <w:szCs w:val="32"/>
        </w:rPr>
      </w:pPr>
      <w:r>
        <w:rPr>
          <w:rFonts w:hint="eastAsia" w:ascii="仿宋_GB2312" w:hAnsi="ˎ̥" w:eastAsia="仿宋_GB2312"/>
          <w:sz w:val="32"/>
          <w:szCs w:val="32"/>
        </w:rPr>
        <w:t>于一般公共服务（类）支出；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2.文化旅游体育与传媒支出（类）、文化和旅游、体育、其他文化旅游体育与传媒支出（款）、行政运行、一般行政管理事务、图书馆、文化活动、群众文化、其他文化和旅游支出、其他文化旅游体育和传媒支出（项）</w:t>
      </w:r>
    </w:p>
    <w:p>
      <w:pPr>
        <w:ind w:firstLine="640" w:firstLineChars="200"/>
        <w:rPr>
          <w:rFonts w:ascii="仿宋_GB2312" w:hAnsi="ˎ̥" w:eastAsia="仿宋_GB2312"/>
          <w:sz w:val="32"/>
          <w:szCs w:val="32"/>
        </w:rPr>
      </w:pPr>
      <w:r>
        <w:rPr>
          <w:rFonts w:hint="eastAsia" w:ascii="仿宋_GB2312" w:hAnsi="ˎ̥" w:eastAsia="仿宋_GB2312"/>
          <w:sz w:val="32"/>
          <w:szCs w:val="32"/>
        </w:rPr>
        <w:t>年初预算为1337.12万元，支出决算1337.12万元。决算数与预算数持平，主要用于文化体育与传媒支出；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3.社会保障和就业支出（类）行政事业单位养老支出、抚恤（款）机关事业单位基本养老保险缴费支出、机关事业单位职业年金缴费支出、其他优抚支出（项）</w:t>
      </w:r>
    </w:p>
    <w:p>
      <w:pPr>
        <w:ind w:firstLine="640" w:firstLineChars="200"/>
        <w:rPr>
          <w:rFonts w:ascii="仿宋_GB2312" w:hAnsi="ˎ̥" w:eastAsia="仿宋_GB2312"/>
          <w:sz w:val="32"/>
          <w:szCs w:val="32"/>
        </w:rPr>
      </w:pPr>
      <w:r>
        <w:rPr>
          <w:rFonts w:hint="eastAsia" w:ascii="仿宋_GB2312" w:hAnsi="ˎ̥" w:eastAsia="仿宋_GB2312"/>
          <w:sz w:val="32"/>
          <w:szCs w:val="32"/>
        </w:rPr>
        <w:t>年初预算为27.08万元，支出决算27.08万元。决算数与预算数持平，主要用于社会保障和就业（类）支出；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4.卫生健康支出（类）行政事业单位医疗（款）行政单位医疗、事业单位医疗、公务员医疗补助（项）</w:t>
      </w:r>
    </w:p>
    <w:p>
      <w:pPr>
        <w:ind w:firstLine="640" w:firstLineChars="200"/>
        <w:rPr>
          <w:rFonts w:ascii="仿宋_GB2312" w:hAnsi="ˎ̥" w:eastAsia="仿宋_GB2312"/>
          <w:sz w:val="32"/>
          <w:szCs w:val="32"/>
        </w:rPr>
      </w:pPr>
      <w:r>
        <w:rPr>
          <w:rFonts w:hint="eastAsia" w:ascii="仿宋_GB2312" w:hAnsi="ˎ̥" w:eastAsia="仿宋_GB2312"/>
          <w:sz w:val="32"/>
          <w:szCs w:val="32"/>
        </w:rPr>
        <w:t>年初预算为25.9万元，支出25.9万元，决算数与预算数持平，主要用于卫生健康（类）支出。</w:t>
      </w:r>
    </w:p>
    <w:p>
      <w:pPr>
        <w:ind w:firstLine="640" w:firstLineChars="200"/>
        <w:rPr>
          <w:rFonts w:hint="eastAsia" w:ascii="仿宋_GB2312" w:hAnsi="ˎ̥" w:eastAsia="仿宋_GB2312"/>
          <w:sz w:val="32"/>
          <w:szCs w:val="32"/>
        </w:rPr>
      </w:pPr>
      <w:r>
        <w:rPr>
          <w:rFonts w:hint="eastAsia" w:ascii="仿宋_GB2312" w:hAnsi="ˎ̥" w:eastAsia="仿宋_GB2312"/>
          <w:sz w:val="32"/>
          <w:szCs w:val="32"/>
        </w:rPr>
        <w:t>5.住房保障支出（类）住房改革支出（款）住房公积金（项）</w:t>
      </w:r>
    </w:p>
    <w:p>
      <w:pPr>
        <w:ind w:firstLine="640" w:firstLineChars="200"/>
        <w:rPr>
          <w:rFonts w:ascii="仿宋_GB2312" w:hAnsi="ˎ̥" w:eastAsia="仿宋_GB2312"/>
          <w:sz w:val="32"/>
          <w:szCs w:val="32"/>
        </w:rPr>
      </w:pPr>
      <w:r>
        <w:rPr>
          <w:rFonts w:hint="eastAsia" w:ascii="仿宋_GB2312" w:hAnsi="ˎ̥" w:eastAsia="仿宋_GB2312"/>
          <w:sz w:val="32"/>
          <w:szCs w:val="32"/>
        </w:rPr>
        <w:t>年初预算为</w:t>
      </w:r>
      <w:r>
        <w:rPr>
          <w:rFonts w:hint="eastAsia" w:ascii="仿宋_GB2312" w:hAnsi="ˎ̥" w:eastAsia="仿宋_GB2312"/>
          <w:sz w:val="32"/>
          <w:szCs w:val="32"/>
        </w:rPr>
        <w:tab/>
      </w:r>
      <w:r>
        <w:rPr>
          <w:rFonts w:hint="eastAsia" w:ascii="仿宋_GB2312" w:hAnsi="ˎ̥" w:eastAsia="仿宋_GB2312"/>
          <w:sz w:val="32"/>
          <w:szCs w:val="32"/>
        </w:rPr>
        <w:t>16.42万元，支出16.42万元，决算数与预算数持平，主要用于住房保障（类）支出支出。</w:t>
      </w:r>
    </w:p>
    <w:p>
      <w:pPr>
        <w:spacing w:line="560" w:lineRule="exact"/>
        <w:ind w:firstLine="627" w:firstLineChars="196"/>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六、一般公共预算财政拨款基本支出决算情况说明。</w:t>
      </w:r>
    </w:p>
    <w:p>
      <w:pPr>
        <w:widowControl/>
        <w:spacing w:before="100" w:beforeAutospacing="1" w:after="100" w:afterAutospacing="1" w:line="590" w:lineRule="atLeast"/>
        <w:jc w:val="left"/>
        <w:rPr>
          <w:rFonts w:ascii="仿宋_GB2312" w:hAnsi="ˎ̥" w:eastAsia="仿宋_GB2312"/>
          <w:sz w:val="32"/>
          <w:szCs w:val="32"/>
        </w:rPr>
      </w:pPr>
      <w:r>
        <w:rPr>
          <w:rFonts w:hint="eastAsia" w:ascii="仿宋_GB2312" w:hAnsi="ˎ̥" w:eastAsia="仿宋_GB2312"/>
          <w:sz w:val="32"/>
          <w:szCs w:val="32"/>
        </w:rPr>
        <w:t>秀英区旅游和文化体育局2022年度财政拨款基本支出 247.88万元，其中：人员经费216.75 万元，主要包括：基本工资、津贴补贴、奖金、社会保障缴费、伙食费、伙食补助费、绩效工资、其他工资福利支出等、离休费、退休费、退职（役）费、抚恤金、生活补助、救济费、医疗费、助学金、奖励金、生产补贴、住房公积金、提租补贴、购房补贴、其他对个人和家庭的补助支出等。公用经费29.82万元，主要包括：办公费、印刷费、咨询费、手续费、水费、电费、邮电费、取暖费、物业管理费、差旅费、因公出国（境）费用、维修（护）费、租赁费、会议费、培训费、公务接待费、专用材料费、</w:t>
      </w:r>
      <w:r>
        <w:rPr>
          <w:rFonts w:hint="eastAsia" w:ascii="仿宋_GB2312" w:hAnsi="ˎ̥" w:eastAsia="仿宋_GB2312"/>
          <w:sz w:val="32"/>
          <w:szCs w:val="32"/>
        </w:rPr>
        <w:tab/>
      </w:r>
      <w:r>
        <w:rPr>
          <w:rFonts w:hint="eastAsia" w:ascii="仿宋_GB2312" w:hAnsi="ˎ̥" w:eastAsia="仿宋_GB2312"/>
          <w:sz w:val="32"/>
          <w:szCs w:val="32"/>
        </w:rPr>
        <w:t>被装购置费、专用燃料费、劳务费、委托业务费、工会经费、福利费、公务用车运行维护费、其他交通费用、税金及附加费用、其他商品和服务支出。</w:t>
      </w:r>
    </w:p>
    <w:p>
      <w:pPr>
        <w:tabs>
          <w:tab w:val="center" w:pos="4473"/>
        </w:tabs>
        <w:spacing w:line="560" w:lineRule="exact"/>
        <w:ind w:firstLine="627" w:firstLineChars="196"/>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七、政府性基金预算财政拨款收入支出决算情况说明</w:t>
      </w:r>
    </w:p>
    <w:p>
      <w:pPr>
        <w:tabs>
          <w:tab w:val="center" w:pos="4473"/>
        </w:tabs>
        <w:spacing w:line="560" w:lineRule="exact"/>
        <w:ind w:firstLine="640" w:firstLineChars="200"/>
        <w:rPr>
          <w:rFonts w:ascii="仿宋_GB2312" w:hAnsi="ˎ̥" w:eastAsia="仿宋_GB2312"/>
          <w:color w:val="000000" w:themeColor="text1"/>
          <w:sz w:val="32"/>
          <w:szCs w:val="32"/>
        </w:rPr>
      </w:pPr>
      <w:r>
        <w:rPr>
          <w:rFonts w:hint="eastAsia" w:ascii="仿宋_GB2312" w:hAnsi="ˎ̥" w:eastAsia="仿宋_GB2312"/>
          <w:color w:val="000000" w:themeColor="text1"/>
          <w:sz w:val="32"/>
          <w:szCs w:val="32"/>
        </w:rPr>
        <w:t>（一）2022年度政府性基金预算财政拨款收入0万元，与2021年度持平。</w:t>
      </w:r>
    </w:p>
    <w:p>
      <w:pPr>
        <w:tabs>
          <w:tab w:val="center" w:pos="4473"/>
        </w:tabs>
        <w:spacing w:line="560" w:lineRule="exact"/>
        <w:ind w:firstLine="640" w:firstLineChars="200"/>
        <w:rPr>
          <w:rFonts w:ascii="仿宋_GB2312" w:hAnsi="ˎ̥" w:eastAsia="仿宋_GB2312"/>
          <w:color w:val="000000" w:themeColor="text1"/>
          <w:sz w:val="32"/>
          <w:szCs w:val="32"/>
        </w:rPr>
      </w:pPr>
      <w:r>
        <w:rPr>
          <w:rFonts w:hint="eastAsia" w:ascii="仿宋_GB2312" w:hAnsi="ˎ̥" w:eastAsia="仿宋_GB2312"/>
          <w:color w:val="000000" w:themeColor="text1"/>
          <w:sz w:val="32"/>
          <w:szCs w:val="32"/>
        </w:rPr>
        <w:t>（二）2022年度政府性基金预算财政拨款支出0万元，与2021年度持平。</w:t>
      </w:r>
    </w:p>
    <w:p>
      <w:pPr>
        <w:spacing w:line="560" w:lineRule="exact"/>
        <w:ind w:firstLine="640" w:firstLineChars="200"/>
        <w:rPr>
          <w:rFonts w:ascii="仿宋_GB2312" w:hAnsi="ˎ̥" w:eastAsia="仿宋_GB2312"/>
          <w:sz w:val="32"/>
          <w:szCs w:val="32"/>
        </w:rPr>
      </w:pPr>
      <w:r>
        <w:rPr>
          <w:rFonts w:hint="eastAsia" w:ascii="仿宋_GB2312" w:hAnsi="ˎ̥" w:eastAsia="仿宋_GB2312"/>
          <w:color w:val="000000" w:themeColor="text1"/>
          <w:sz w:val="32"/>
          <w:szCs w:val="32"/>
        </w:rPr>
        <w:t>（</w:t>
      </w:r>
      <w:r>
        <w:rPr>
          <w:rFonts w:hint="eastAsia" w:ascii="仿宋_GB2312" w:hAnsi="ˎ̥" w:eastAsia="仿宋_GB2312"/>
          <w:sz w:val="32"/>
          <w:szCs w:val="32"/>
        </w:rPr>
        <w:t>三）2022年度财政拨款支出年初预算为1408.96万元，支出决算为1408.96万元，完成年初预算的100%。其中：</w:t>
      </w:r>
    </w:p>
    <w:p>
      <w:pPr>
        <w:ind w:firstLine="640" w:firstLineChars="200"/>
        <w:rPr>
          <w:rFonts w:ascii="仿宋_GB2312" w:hAnsi="ˎ̥" w:eastAsia="仿宋_GB2312"/>
          <w:sz w:val="32"/>
          <w:szCs w:val="32"/>
        </w:rPr>
      </w:pPr>
      <w:r>
        <w:rPr>
          <w:rFonts w:hint="eastAsia" w:ascii="仿宋_GB2312" w:hAnsi="ˎ̥" w:eastAsia="仿宋_GB2312"/>
          <w:sz w:val="32"/>
          <w:szCs w:val="32"/>
        </w:rPr>
        <w:t>1.一般公共服务（类）支出年初预算为2.44万元，支出决算2.44万元，主要用于一般公共服务（类）支出；</w:t>
      </w:r>
    </w:p>
    <w:p>
      <w:pPr>
        <w:ind w:firstLine="640" w:firstLineChars="200"/>
        <w:rPr>
          <w:rFonts w:ascii="仿宋_GB2312" w:hAnsi="ˎ̥" w:eastAsia="仿宋_GB2312"/>
          <w:sz w:val="32"/>
          <w:szCs w:val="32"/>
        </w:rPr>
      </w:pPr>
      <w:r>
        <w:rPr>
          <w:rFonts w:hint="eastAsia" w:ascii="仿宋_GB2312" w:hAnsi="ˎ̥" w:eastAsia="仿宋_GB2312"/>
          <w:sz w:val="32"/>
          <w:szCs w:val="32"/>
        </w:rPr>
        <w:t>2.文化体育与传媒支出年初预算为1337.12万元，支出决算1337.12万元。决算数与预算数持平，主要用于文化体育与传媒支出；</w:t>
      </w:r>
    </w:p>
    <w:p>
      <w:pPr>
        <w:ind w:firstLine="640" w:firstLineChars="200"/>
        <w:rPr>
          <w:rFonts w:ascii="仿宋_GB2312" w:hAnsi="ˎ̥" w:eastAsia="仿宋_GB2312"/>
          <w:sz w:val="32"/>
          <w:szCs w:val="32"/>
        </w:rPr>
      </w:pPr>
      <w:r>
        <w:rPr>
          <w:rFonts w:hint="eastAsia" w:ascii="仿宋_GB2312" w:hAnsi="ˎ̥" w:eastAsia="仿宋_GB2312"/>
          <w:sz w:val="32"/>
          <w:szCs w:val="32"/>
        </w:rPr>
        <w:t>3.社会保障和就业（类）支出年初预算为27.08万元，支出决算27.08万元。决算数与预算数持平，主要用于社会保障和就业（类）支出；</w:t>
      </w:r>
    </w:p>
    <w:p>
      <w:pPr>
        <w:ind w:firstLine="640" w:firstLineChars="200"/>
        <w:rPr>
          <w:rFonts w:ascii="仿宋_GB2312" w:hAnsi="ˎ̥" w:eastAsia="仿宋_GB2312"/>
          <w:sz w:val="32"/>
          <w:szCs w:val="32"/>
        </w:rPr>
      </w:pPr>
      <w:r>
        <w:rPr>
          <w:rFonts w:hint="eastAsia" w:ascii="仿宋_GB2312" w:hAnsi="ˎ̥" w:eastAsia="仿宋_GB2312"/>
          <w:sz w:val="32"/>
          <w:szCs w:val="32"/>
        </w:rPr>
        <w:t>4.卫生健康（类）支出年初预算为25.9万元，支出25.9万元，决算数与预算数持平，主要用于卫生健康（类）支出。</w:t>
      </w:r>
    </w:p>
    <w:p>
      <w:pPr>
        <w:ind w:firstLine="640" w:firstLineChars="200"/>
        <w:rPr>
          <w:rFonts w:ascii="仿宋_GB2312" w:hAnsi="ˎ̥" w:eastAsia="仿宋_GB2312"/>
          <w:sz w:val="32"/>
          <w:szCs w:val="32"/>
        </w:rPr>
      </w:pPr>
      <w:r>
        <w:rPr>
          <w:rFonts w:hint="eastAsia" w:ascii="仿宋_GB2312" w:hAnsi="ˎ̥" w:eastAsia="仿宋_GB2312"/>
          <w:sz w:val="32"/>
          <w:szCs w:val="32"/>
        </w:rPr>
        <w:t>5.住房保障（类）支出年初预算为</w:t>
      </w:r>
      <w:r>
        <w:rPr>
          <w:rFonts w:hint="eastAsia" w:ascii="仿宋_GB2312" w:hAnsi="ˎ̥" w:eastAsia="仿宋_GB2312"/>
          <w:sz w:val="32"/>
          <w:szCs w:val="32"/>
        </w:rPr>
        <w:tab/>
      </w:r>
      <w:r>
        <w:rPr>
          <w:rFonts w:hint="eastAsia" w:ascii="仿宋_GB2312" w:hAnsi="ˎ̥" w:eastAsia="仿宋_GB2312"/>
          <w:sz w:val="32"/>
          <w:szCs w:val="32"/>
        </w:rPr>
        <w:t>16.42万元，支出16.42万元，决算数与预算数持平，主要用于住房保障（类）支出支出。</w:t>
      </w:r>
    </w:p>
    <w:p>
      <w:pPr>
        <w:tabs>
          <w:tab w:val="center" w:pos="4473"/>
        </w:tabs>
        <w:ind w:firstLine="627" w:firstLineChars="196"/>
        <w:rPr>
          <w:rFonts w:ascii="黑体" w:hAnsi="黑体" w:eastAsia="黑体" w:cs="黑体"/>
          <w:bCs/>
          <w:sz w:val="32"/>
          <w:szCs w:val="32"/>
        </w:rPr>
      </w:pPr>
      <w:r>
        <w:rPr>
          <w:rFonts w:hint="eastAsia" w:ascii="仿宋_GB2312" w:hAnsi="ˎ̥" w:eastAsia="仿宋_GB2312"/>
          <w:color w:val="000000" w:themeColor="text1"/>
          <w:sz w:val="32"/>
          <w:szCs w:val="32"/>
        </w:rPr>
        <w:t>八、</w:t>
      </w:r>
      <w:r>
        <w:rPr>
          <w:rFonts w:hint="eastAsia" w:ascii="黑体" w:hAnsi="黑体" w:eastAsia="黑体" w:cs="黑体"/>
          <w:bCs/>
          <w:sz w:val="32"/>
          <w:szCs w:val="32"/>
        </w:rPr>
        <w:t>国有资本经营预算财政拨款支出决算情况说明</w:t>
      </w:r>
    </w:p>
    <w:p>
      <w:pPr>
        <w:ind w:firstLine="640" w:firstLineChars="200"/>
        <w:rPr>
          <w:rFonts w:ascii="楷体" w:hAnsi="楷体" w:eastAsia="楷体" w:cs="楷体"/>
          <w:sz w:val="32"/>
          <w:szCs w:val="32"/>
        </w:rPr>
      </w:pPr>
      <w:r>
        <w:rPr>
          <w:rFonts w:hint="eastAsia" w:ascii="楷体" w:hAnsi="楷体" w:eastAsia="楷体" w:cs="楷体"/>
          <w:sz w:val="32"/>
          <w:szCs w:val="32"/>
        </w:rPr>
        <w:t>（一）国有资本经营预算财政拨款支出决算总体情况。</w:t>
      </w:r>
    </w:p>
    <w:p>
      <w:pPr>
        <w:ind w:firstLine="640" w:firstLineChars="200"/>
        <w:rPr>
          <w:rFonts w:ascii="仿宋_GB2312" w:hAnsi="宋体" w:eastAsia="仿宋_GB2312" w:cs="仿宋_GB2312"/>
          <w:color w:val="000000"/>
          <w:sz w:val="31"/>
          <w:szCs w:val="31"/>
          <w:shd w:val="clear" w:color="auto" w:fill="FFFFFF"/>
        </w:rPr>
      </w:pPr>
      <w:r>
        <w:rPr>
          <w:rFonts w:hint="eastAsia" w:ascii="仿宋_GB2312" w:hAnsi="ˎ̥" w:eastAsia="仿宋_GB2312"/>
          <w:sz w:val="32"/>
          <w:szCs w:val="32"/>
        </w:rPr>
        <w:t>2022年度国有资本经营预算财政拨款支出0万元，占本年支出合计的0%。与2021年度相比，国有资本经营预算财政拨款支出</w:t>
      </w:r>
      <w:r>
        <w:rPr>
          <w:rFonts w:hint="eastAsia" w:ascii="仿宋_GB2312" w:hAnsi="宋体" w:eastAsia="仿宋_GB2312" w:cs="仿宋_GB2312"/>
          <w:color w:val="000000"/>
          <w:sz w:val="31"/>
          <w:szCs w:val="31"/>
          <w:shd w:val="clear" w:color="auto" w:fill="FFFFFF"/>
        </w:rPr>
        <w:t>不变，主要原因是无该项支出。</w:t>
      </w:r>
    </w:p>
    <w:p>
      <w:pPr>
        <w:ind w:firstLine="640" w:firstLineChars="200"/>
        <w:rPr>
          <w:rFonts w:ascii="楷体" w:hAnsi="楷体" w:eastAsia="楷体" w:cs="楷体"/>
          <w:sz w:val="32"/>
          <w:szCs w:val="32"/>
        </w:rPr>
      </w:pPr>
      <w:r>
        <w:rPr>
          <w:rFonts w:hint="eastAsia" w:ascii="楷体" w:hAnsi="楷体" w:eastAsia="楷体" w:cs="楷体"/>
          <w:sz w:val="32"/>
          <w:szCs w:val="32"/>
        </w:rPr>
        <w:t>（二）国有资本经营预算财政拨款支出决算结构情况。</w:t>
      </w:r>
    </w:p>
    <w:p>
      <w:pPr>
        <w:ind w:firstLine="640" w:firstLineChars="200"/>
        <w:rPr>
          <w:rFonts w:ascii="仿宋_GB2312" w:hAnsi="ˎ̥" w:eastAsia="仿宋_GB2312"/>
          <w:sz w:val="32"/>
          <w:szCs w:val="32"/>
        </w:rPr>
      </w:pPr>
      <w:r>
        <w:rPr>
          <w:rFonts w:hint="eastAsia" w:ascii="仿宋_GB2312" w:hAnsi="ˎ̥" w:eastAsia="仿宋_GB2312"/>
          <w:sz w:val="32"/>
          <w:szCs w:val="32"/>
        </w:rPr>
        <w:t>2022年度国有资本经营预算财政拨款支出0万元。</w:t>
      </w:r>
    </w:p>
    <w:p>
      <w:pPr>
        <w:ind w:firstLine="640" w:firstLineChars="200"/>
        <w:rPr>
          <w:rFonts w:ascii="仿宋_GB2312" w:hAnsi="ˎ̥" w:eastAsia="仿宋_GB2312"/>
          <w:sz w:val="32"/>
          <w:szCs w:val="32"/>
        </w:rPr>
      </w:pPr>
      <w:r>
        <w:rPr>
          <w:rFonts w:hint="eastAsia" w:ascii="仿宋_GB2312" w:hAnsi="ˎ̥" w:eastAsia="仿宋_GB2312"/>
          <w:sz w:val="32"/>
          <w:szCs w:val="32"/>
        </w:rPr>
        <w:t>（根据各部门（单位）实际支出涉及的支出功能分类类级科目填列）</w:t>
      </w:r>
    </w:p>
    <w:p>
      <w:pPr>
        <w:ind w:firstLine="640" w:firstLineChars="200"/>
        <w:rPr>
          <w:rFonts w:ascii="楷体" w:hAnsi="楷体" w:eastAsia="楷体" w:cs="楷体"/>
          <w:sz w:val="32"/>
          <w:szCs w:val="32"/>
        </w:rPr>
      </w:pPr>
      <w:r>
        <w:rPr>
          <w:rFonts w:hint="eastAsia" w:ascii="楷体" w:hAnsi="楷体" w:eastAsia="楷体" w:cs="楷体"/>
          <w:sz w:val="32"/>
          <w:szCs w:val="32"/>
        </w:rPr>
        <w:t>（三）国有资本经营预算财政拨款支出决算具体情况。</w:t>
      </w:r>
    </w:p>
    <w:p>
      <w:pPr>
        <w:ind w:firstLine="640" w:firstLineChars="200"/>
        <w:rPr>
          <w:rFonts w:ascii="仿宋_GB2312" w:hAnsi="ˎ̥" w:eastAsia="仿宋_GB2312"/>
          <w:color w:val="000000" w:themeColor="text1"/>
          <w:sz w:val="32"/>
          <w:szCs w:val="32"/>
        </w:rPr>
      </w:pPr>
      <w:r>
        <w:rPr>
          <w:rFonts w:hint="eastAsia" w:ascii="仿宋_GB2312" w:hAnsi="ˎ̥" w:eastAsia="仿宋_GB2312"/>
          <w:sz w:val="32"/>
          <w:szCs w:val="32"/>
        </w:rPr>
        <w:t>2022年度国有资本经营预算财政拨款支出年初预算为0万元，支出决算为0万元，完成年初预算的0%。</w:t>
      </w:r>
    </w:p>
    <w:p>
      <w:pPr>
        <w:spacing w:line="560" w:lineRule="exact"/>
        <w:ind w:firstLine="640"/>
        <w:rPr>
          <w:rFonts w:ascii="仿宋_GB2312" w:hAnsi="ˎ̥" w:eastAsia="楷体_GB2312"/>
          <w:sz w:val="32"/>
          <w:szCs w:val="32"/>
        </w:rPr>
      </w:pPr>
      <w:r>
        <w:rPr>
          <w:rFonts w:hint="eastAsia" w:ascii="黑体" w:hAnsi="黑体" w:eastAsia="黑体" w:cs="黑体"/>
          <w:bCs/>
          <w:sz w:val="32"/>
          <w:szCs w:val="32"/>
        </w:rPr>
        <w:t>九、一般公共预算财政拨款“三公”经费支出决算情况说明</w:t>
      </w:r>
    </w:p>
    <w:p>
      <w:pPr>
        <w:spacing w:line="560" w:lineRule="exact"/>
        <w:ind w:firstLine="643" w:firstLineChars="200"/>
        <w:rPr>
          <w:rFonts w:ascii="楷体" w:hAnsi="楷体" w:eastAsia="楷体" w:cs="楷体"/>
          <w:sz w:val="32"/>
          <w:szCs w:val="32"/>
        </w:rPr>
      </w:pPr>
      <w:r>
        <w:rPr>
          <w:rFonts w:hint="eastAsia" w:ascii="楷体" w:hAnsi="楷体" w:eastAsia="楷体" w:cs="楷体"/>
          <w:b/>
          <w:sz w:val="32"/>
          <w:szCs w:val="32"/>
        </w:rPr>
        <w:t>（一）一般公共预算财政拨款“三公”经费支出决算总体情况说明。</w:t>
      </w:r>
    </w:p>
    <w:p>
      <w:pPr>
        <w:widowControl/>
        <w:spacing w:before="100" w:beforeAutospacing="1" w:after="100" w:afterAutospacing="1" w:line="590" w:lineRule="atLeast"/>
        <w:jc w:val="left"/>
        <w:rPr>
          <w:rFonts w:ascii="仿宋_GB2312" w:hAnsi="ˎ̥" w:eastAsia="仿宋_GB2312"/>
          <w:sz w:val="32"/>
          <w:szCs w:val="32"/>
        </w:rPr>
      </w:pPr>
      <w:r>
        <w:rPr>
          <w:rFonts w:hint="eastAsia" w:ascii="仿宋_GB2312" w:hAnsi="ˎ̥" w:eastAsia="仿宋_GB2312"/>
          <w:sz w:val="32"/>
          <w:szCs w:val="32"/>
        </w:rPr>
        <w:t>秀英区旅游和文化体育局2022年度“三公”经费财政拨款支出预算为3.5万元，支出决算为2.19万元，完成预算的 62.57%。其中：因公出国（境）费支出决算为0万元，完成预算的0%；公务用车购置及运行费支出决算为2.19万元，完成预算的62.57%，较2021年度年末决算数增加0.77万元，主要原因：公务用车运行维护费及车辆燃油费增加；公务接待费支出决算为 0万元，完成预算的0%。2022年度“三公”经费支出决算数小于预算数的主要原因：一是控制公务用车运行维护费及车辆燃油费等支出。</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（二）一般公共预算“三公”经费财政拨款支出决算具体情况说明。</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2022年度一般公共预算财政拨款“三公”经费支出决算中，因公出国（境）费支出决算0万元，占0%；公务用车购置及运行费支出决算2.19万元，占62.57%；公务接待费支出决算0万元，占0%。具体情况如下：</w:t>
      </w:r>
    </w:p>
    <w:p>
      <w:pPr>
        <w:numPr>
          <w:ilvl w:val="0"/>
          <w:numId w:val="2"/>
        </w:numPr>
        <w:spacing w:line="560" w:lineRule="exact"/>
        <w:ind w:firstLine="643"/>
        <w:rPr>
          <w:rFonts w:ascii="仿宋_GB2312" w:hAnsi="ˎ̥" w:eastAsia="仿宋_GB2312"/>
          <w:sz w:val="32"/>
          <w:szCs w:val="32"/>
        </w:rPr>
      </w:pPr>
      <w:r>
        <w:rPr>
          <w:rFonts w:hint="eastAsia" w:ascii="仿宋_GB2312" w:hAnsi="ˎ̥" w:eastAsia="仿宋_GB2312"/>
          <w:b/>
          <w:sz w:val="32"/>
          <w:szCs w:val="32"/>
        </w:rPr>
        <w:t>因公出国（境）费</w:t>
      </w:r>
      <w:r>
        <w:rPr>
          <w:rFonts w:hint="eastAsia" w:ascii="仿宋_GB2312" w:hAnsi="ˎ̥" w:eastAsia="仿宋_GB2312"/>
          <w:sz w:val="32"/>
          <w:szCs w:val="32"/>
        </w:rPr>
        <w:t>支出0万元。</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全年安排因公出国（境）团组0个，累计0人次。</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因公出国（境）费支出决算与2020年度持平。</w:t>
      </w:r>
    </w:p>
    <w:p>
      <w:pPr>
        <w:spacing w:line="560" w:lineRule="exact"/>
        <w:rPr>
          <w:rFonts w:ascii="仿宋_GB2312" w:hAnsi="ˎ̥" w:eastAsia="仿宋_GB2312"/>
          <w:sz w:val="32"/>
          <w:szCs w:val="32"/>
        </w:rPr>
      </w:pPr>
      <w:r>
        <w:rPr>
          <w:rFonts w:hint="eastAsia" w:ascii="仿宋_GB2312" w:hAnsi="ˎ̥" w:eastAsia="仿宋_GB2312"/>
          <w:b/>
          <w:sz w:val="32"/>
          <w:szCs w:val="32"/>
        </w:rPr>
        <w:t xml:space="preserve">    2.公务用车购置及运行费支出1.42</w:t>
      </w:r>
      <w:r>
        <w:rPr>
          <w:rFonts w:hint="eastAsia" w:ascii="仿宋_GB2312" w:hAnsi="ˎ̥" w:eastAsia="仿宋_GB2312"/>
          <w:sz w:val="32"/>
          <w:szCs w:val="32"/>
        </w:rPr>
        <w:t>万元。其中：</w:t>
      </w:r>
    </w:p>
    <w:p>
      <w:pPr>
        <w:spacing w:line="560" w:lineRule="exact"/>
        <w:ind w:firstLine="643" w:firstLineChars="200"/>
        <w:rPr>
          <w:rFonts w:ascii="仿宋_GB2312" w:hAnsi="ˎ̥" w:eastAsia="仿宋_GB2312"/>
          <w:sz w:val="32"/>
          <w:szCs w:val="32"/>
        </w:rPr>
      </w:pPr>
      <w:r>
        <w:rPr>
          <w:rFonts w:hint="eastAsia" w:ascii="仿宋_GB2312" w:hAnsi="ˎ̥" w:eastAsia="仿宋_GB2312"/>
          <w:b/>
          <w:sz w:val="32"/>
          <w:szCs w:val="32"/>
        </w:rPr>
        <w:t>公务用车购置支出</w:t>
      </w:r>
      <w:r>
        <w:rPr>
          <w:rFonts w:hint="eastAsia" w:ascii="仿宋_GB2312" w:hAnsi="ˎ̥" w:eastAsia="仿宋_GB2312"/>
          <w:sz w:val="32"/>
          <w:szCs w:val="32"/>
        </w:rPr>
        <w:t>0万元，全年购置公务用车0辆，年末公务用车保有量</w:t>
      </w:r>
      <w:r>
        <w:rPr>
          <w:rFonts w:hint="eastAsia" w:ascii="仿宋_GB2312" w:hAnsi="ˎ̥" w:eastAsia="仿宋_GB2312"/>
          <w:sz w:val="32"/>
          <w:szCs w:val="32"/>
          <w:lang w:val="en-US" w:eastAsia="zh-CN"/>
        </w:rPr>
        <w:t>2</w:t>
      </w:r>
      <w:r>
        <w:rPr>
          <w:rFonts w:hint="eastAsia" w:ascii="仿宋_GB2312" w:hAnsi="ˎ̥" w:eastAsia="仿宋_GB2312"/>
          <w:sz w:val="32"/>
          <w:szCs w:val="32"/>
        </w:rPr>
        <w:t>辆。</w:t>
      </w:r>
      <w:bookmarkStart w:id="107" w:name="_GoBack"/>
      <w:bookmarkEnd w:id="107"/>
    </w:p>
    <w:p>
      <w:pPr>
        <w:spacing w:line="560" w:lineRule="exact"/>
        <w:ind w:firstLine="643" w:firstLineChars="200"/>
        <w:rPr>
          <w:rFonts w:ascii="仿宋_GB2312" w:hAnsi="ˎ̥" w:eastAsia="仿宋_GB2312"/>
          <w:sz w:val="32"/>
          <w:szCs w:val="32"/>
        </w:rPr>
      </w:pPr>
      <w:r>
        <w:rPr>
          <w:rFonts w:hint="eastAsia" w:ascii="仿宋_GB2312" w:hAnsi="ˎ̥" w:eastAsia="仿宋_GB2312"/>
          <w:b/>
          <w:sz w:val="32"/>
          <w:szCs w:val="32"/>
        </w:rPr>
        <w:t>公务用车运行维护费</w:t>
      </w:r>
      <w:r>
        <w:rPr>
          <w:rFonts w:hint="eastAsia" w:ascii="仿宋_GB2312" w:hAnsi="ˎ̥" w:eastAsia="仿宋_GB2312"/>
          <w:sz w:val="32"/>
          <w:szCs w:val="32"/>
        </w:rPr>
        <w:t>支出2.19万元，主要用于一般公务车燃料费、维修及保险费等支出。</w:t>
      </w:r>
    </w:p>
    <w:p>
      <w:pPr>
        <w:spacing w:line="560" w:lineRule="exact"/>
        <w:rPr>
          <w:rFonts w:ascii="仿宋_GB2312" w:hAnsi="ˎ̥" w:eastAsia="仿宋_GB2312"/>
          <w:sz w:val="32"/>
          <w:szCs w:val="32"/>
        </w:rPr>
      </w:pPr>
      <w:r>
        <w:rPr>
          <w:rFonts w:hint="eastAsia" w:ascii="仿宋_GB2312" w:hAnsi="ˎ̥" w:eastAsia="仿宋_GB2312"/>
          <w:b/>
          <w:sz w:val="32"/>
          <w:szCs w:val="32"/>
        </w:rPr>
        <w:t xml:space="preserve">    3.公务接待费支出</w:t>
      </w:r>
      <w:r>
        <w:rPr>
          <w:rFonts w:hint="eastAsia" w:ascii="仿宋_GB2312" w:hAnsi="ˎ̥" w:eastAsia="仿宋_GB2312"/>
          <w:sz w:val="32"/>
          <w:szCs w:val="32"/>
        </w:rPr>
        <w:t>0万元。其中：</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公务接待费支出决算比2021年度减少。</w:t>
      </w:r>
    </w:p>
    <w:p>
      <w:pPr>
        <w:spacing w:line="560" w:lineRule="exact"/>
        <w:ind w:firstLine="643" w:firstLineChars="200"/>
        <w:rPr>
          <w:rFonts w:ascii="仿宋_GB2312" w:hAnsi="ˎ̥" w:eastAsia="仿宋_GB2312"/>
          <w:sz w:val="32"/>
          <w:szCs w:val="32"/>
        </w:rPr>
      </w:pPr>
      <w:r>
        <w:rPr>
          <w:rFonts w:hint="eastAsia" w:ascii="仿宋_GB2312" w:hAnsi="ˎ̥" w:eastAsia="仿宋_GB2312"/>
          <w:b/>
          <w:sz w:val="32"/>
          <w:szCs w:val="32"/>
        </w:rPr>
        <w:t>国内接待费</w:t>
      </w:r>
      <w:r>
        <w:rPr>
          <w:rFonts w:hint="eastAsia" w:ascii="仿宋_GB2312" w:hAnsi="ˎ̥" w:eastAsia="仿宋_GB2312"/>
          <w:sz w:val="32"/>
          <w:szCs w:val="32"/>
        </w:rPr>
        <w:t>支出0万元，国内公务接待0批次，接待0人次。</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国（境）外接待费支出0万元，国（境）外公务接待0批次，接待0人次。</w:t>
      </w:r>
    </w:p>
    <w:p>
      <w:pPr>
        <w:spacing w:line="560" w:lineRule="exact"/>
        <w:ind w:firstLine="627" w:firstLineChars="196"/>
        <w:rPr>
          <w:rFonts w:ascii="仿宋_GB2312" w:hAnsi="ˎ̥" w:eastAsia="楷体_GB2312"/>
          <w:sz w:val="32"/>
          <w:szCs w:val="32"/>
        </w:rPr>
      </w:pPr>
      <w:r>
        <w:rPr>
          <w:rFonts w:hint="eastAsia" w:ascii="黑体" w:hAnsi="黑体" w:eastAsia="黑体" w:cs="黑体"/>
          <w:bCs/>
          <w:sz w:val="32"/>
          <w:szCs w:val="32"/>
        </w:rPr>
        <w:t>十、政府性基金预算财政拨款“三公”经费支出决算情况说明</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2022年度政府性基金预算财政拨款“三公”经费支出合计0万元。其中：因公出国（境）费支出决算0万元，占0%；公务用车购置及运行费支出决算0万元，占0%；公务接待费支出决算0万元，占0%。</w:t>
      </w:r>
    </w:p>
    <w:p>
      <w:pPr>
        <w:ind w:firstLine="627" w:firstLineChars="196"/>
        <w:rPr>
          <w:rFonts w:ascii="仿宋_GB2312" w:hAnsi="ˎ̥" w:eastAsia="楷体_GB2312"/>
          <w:sz w:val="32"/>
          <w:szCs w:val="32"/>
        </w:rPr>
      </w:pPr>
      <w:r>
        <w:rPr>
          <w:rFonts w:hint="eastAsia" w:ascii="仿宋_GB2312" w:hAnsi="ˎ̥" w:eastAsia="仿宋_GB2312"/>
          <w:sz w:val="32"/>
          <w:szCs w:val="32"/>
        </w:rPr>
        <w:t>十一、</w:t>
      </w:r>
      <w:r>
        <w:rPr>
          <w:rFonts w:hint="eastAsia" w:ascii="黑体" w:hAnsi="黑体" w:eastAsia="黑体" w:cs="黑体"/>
          <w:bCs/>
          <w:sz w:val="32"/>
          <w:szCs w:val="32"/>
        </w:rPr>
        <w:t>国有资本经营预算财政拨款“三公”经费支出决算情况说明</w:t>
      </w:r>
    </w:p>
    <w:p>
      <w:pPr>
        <w:ind w:firstLine="640" w:firstLineChars="200"/>
        <w:rPr>
          <w:rFonts w:ascii="仿宋_GB2312" w:hAnsi="ˎ̥" w:eastAsia="仿宋_GB2312"/>
          <w:sz w:val="32"/>
          <w:szCs w:val="32"/>
        </w:rPr>
      </w:pPr>
      <w:r>
        <w:rPr>
          <w:rFonts w:hint="eastAsia" w:ascii="仿宋_GB2312" w:hAnsi="ˎ̥" w:eastAsia="仿宋_GB2312"/>
          <w:sz w:val="32"/>
          <w:szCs w:val="32"/>
        </w:rPr>
        <w:t>2022年度国有资本经营预算财政拨款“三公”经费支出合计0万元。其中：因公出国（境）费支出决算0万元，占0%；公务用车购置及运行维护费支出决算0万元，占0%；公务接待费支出决算0万元，占0%。</w:t>
      </w:r>
    </w:p>
    <w:p>
      <w:pPr>
        <w:spacing w:line="560" w:lineRule="exact"/>
        <w:ind w:firstLine="640" w:firstLineChars="200"/>
        <w:rPr>
          <w:rFonts w:ascii="黑体" w:hAnsi="黑体" w:eastAsia="黑体" w:cs="黑体"/>
          <w:bCs/>
          <w:sz w:val="32"/>
          <w:szCs w:val="32"/>
        </w:rPr>
      </w:pPr>
      <w:r>
        <w:rPr>
          <w:rFonts w:hint="eastAsia" w:ascii="仿宋_GB2312" w:hAnsi="ˎ̥" w:eastAsia="仿宋_GB2312"/>
          <w:sz w:val="32"/>
          <w:szCs w:val="32"/>
        </w:rPr>
        <w:t>十二、</w:t>
      </w:r>
      <w:r>
        <w:rPr>
          <w:rFonts w:hint="eastAsia" w:ascii="黑体" w:hAnsi="黑体" w:eastAsia="黑体" w:cs="黑体"/>
          <w:bCs/>
          <w:sz w:val="32"/>
          <w:szCs w:val="32"/>
        </w:rPr>
        <w:t>预算绩效情况说明。</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1.绩效管理工作开展情况。</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根据财政预算管理要求，我部门（单位）组织对 2022年度一般公共预算项目支出全面开展绩效自评。自评项目4个，共涉及资金 304.43万元，自评覆盖率达到100%。</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我局（秀英区旅文局）共组织对等4个项目进行了绩效评价，涉及资金304.43万元。开展整体支出绩效评价，涉及资金304.43万元。</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2.部门结算中项目绩效自评结果：</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综合事务项目绩效自评综述：根据年初设定的绩效目标，项目自评得分为98分。项目绩效目标完成情况：一是产出指标完成率和经费使用满意度完成率均达95%以上。发现的主要问题及原因：资金使用覆盖率没有达到预期；下一步改进措施：提高资金用覆盖率。</w:t>
      </w:r>
    </w:p>
    <w:p>
      <w:pPr>
        <w:tabs>
          <w:tab w:val="left" w:pos="312"/>
        </w:tabs>
        <w:spacing w:line="560" w:lineRule="exact"/>
        <w:ind w:left="840"/>
        <w:rPr>
          <w:rFonts w:ascii="仿宋_GB2312" w:hAnsi="ˎ̥" w:eastAsia="仿宋_GB2312"/>
          <w:sz w:val="32"/>
          <w:szCs w:val="32"/>
        </w:rPr>
      </w:pPr>
      <w:r>
        <w:rPr>
          <w:rFonts w:hint="eastAsia" w:ascii="仿宋_GB2312" w:hAnsi="ˎ̥" w:eastAsia="仿宋_GB2312"/>
          <w:sz w:val="32"/>
          <w:szCs w:val="32"/>
        </w:rPr>
        <w:t>3.财政评价项目绩效评价结果：无</w:t>
      </w:r>
    </w:p>
    <w:p>
      <w:pPr>
        <w:tabs>
          <w:tab w:val="left" w:pos="312"/>
        </w:tabs>
        <w:spacing w:line="560" w:lineRule="exact"/>
        <w:ind w:left="840"/>
        <w:rPr>
          <w:rFonts w:ascii="仿宋_GB2312" w:hAnsi="ˎ̥" w:eastAsia="仿宋_GB2312"/>
          <w:sz w:val="32"/>
          <w:szCs w:val="32"/>
        </w:rPr>
      </w:pPr>
      <w:r>
        <w:rPr>
          <w:rFonts w:hint="eastAsia" w:ascii="仿宋_GB2312" w:hAnsi="ˎ̥" w:eastAsia="仿宋_GB2312"/>
          <w:sz w:val="32"/>
          <w:szCs w:val="32"/>
        </w:rPr>
        <w:t>4.部门评价项目绩效评价结果：无</w:t>
      </w:r>
    </w:p>
    <w:p>
      <w:pPr>
        <w:tabs>
          <w:tab w:val="left" w:pos="312"/>
        </w:tabs>
        <w:spacing w:line="560" w:lineRule="exact"/>
        <w:ind w:left="840"/>
        <w:rPr>
          <w:rFonts w:ascii="仿宋_GB2312" w:hAnsi="ˎ̥" w:eastAsia="仿宋_GB2312"/>
          <w:sz w:val="32"/>
          <w:szCs w:val="32"/>
        </w:rPr>
      </w:pPr>
      <w:r>
        <w:rPr>
          <w:rFonts w:hint="eastAsia" w:ascii="仿宋_GB2312" w:hAnsi="ˎ̥" w:eastAsia="仿宋_GB2312"/>
          <w:sz w:val="32"/>
          <w:szCs w:val="32"/>
        </w:rPr>
        <w:t>5.重点项目绩效：无</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十三、其他重要事项情况说明。</w:t>
      </w:r>
    </w:p>
    <w:p>
      <w:pPr>
        <w:spacing w:line="560" w:lineRule="exact"/>
        <w:ind w:firstLine="643" w:firstLineChars="200"/>
        <w:rPr>
          <w:rFonts w:ascii="仿宋_GB2312" w:hAnsi="ˎ̥" w:eastAsia="仿宋_GB2312"/>
          <w:sz w:val="32"/>
          <w:szCs w:val="32"/>
        </w:rPr>
      </w:pPr>
      <w:bookmarkStart w:id="83" w:name="_Toc23598_WPSOffice_Level2"/>
      <w:bookmarkStart w:id="84" w:name="_Toc18325_WPSOffice_Level2"/>
      <w:bookmarkStart w:id="85" w:name="_Toc15565_WPSOffice_Level2"/>
      <w:bookmarkStart w:id="86" w:name="_Toc32639_WPSOffice_Level2"/>
      <w:bookmarkStart w:id="87" w:name="_Toc5978_WPSOffice_Level2"/>
      <w:bookmarkStart w:id="88" w:name="_Toc15262_WPSOffice_Level2"/>
      <w:r>
        <w:rPr>
          <w:rFonts w:hint="eastAsia" w:ascii="楷体" w:hAnsi="楷体" w:eastAsia="楷体" w:cs="楷体"/>
          <w:b/>
          <w:sz w:val="32"/>
          <w:szCs w:val="32"/>
        </w:rPr>
        <w:t>（一）</w:t>
      </w:r>
      <w:bookmarkEnd w:id="83"/>
      <w:bookmarkEnd w:id="84"/>
      <w:bookmarkEnd w:id="85"/>
      <w:bookmarkEnd w:id="86"/>
      <w:bookmarkEnd w:id="87"/>
      <w:bookmarkEnd w:id="88"/>
      <w:r>
        <w:rPr>
          <w:rFonts w:hint="eastAsia" w:ascii="仿宋_GB2312" w:hAnsi="ˎ̥" w:eastAsia="仿宋_GB2312"/>
          <w:sz w:val="32"/>
          <w:szCs w:val="32"/>
        </w:rPr>
        <w:t>机关运行经费支出情况。</w:t>
      </w:r>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2022年度秀英区旅游和文化体育局机关运行经费 20.53万元（为部门决算中行政单位和参公事业单位使用一般公共预算财政拨款安排的基本支出中的日常公用经费支出），</w:t>
      </w:r>
      <w:bookmarkStart w:id="89" w:name="_Toc32689_WPSOffice_Level2"/>
      <w:bookmarkStart w:id="90" w:name="_Toc25333_WPSOffice_Level2"/>
      <w:bookmarkStart w:id="91" w:name="_Toc3131_WPSOffice_Level2"/>
      <w:bookmarkStart w:id="92" w:name="_Toc23966_WPSOffice_Level2"/>
      <w:bookmarkStart w:id="93" w:name="_Toc13084_WPSOffice_Level2"/>
      <w:bookmarkStart w:id="94" w:name="_Toc30383_WPSOffice_Level2"/>
      <w:r>
        <w:rPr>
          <w:rFonts w:hint="eastAsia" w:ascii="仿宋_GB2312" w:hAnsi="ˎ̥" w:eastAsia="仿宋_GB2312"/>
          <w:sz w:val="32"/>
          <w:szCs w:val="32"/>
        </w:rPr>
        <w:t>机关运行经费2022年小于2021年度，主要原因：机关运行经费减少。</w:t>
      </w:r>
    </w:p>
    <w:p>
      <w:pPr>
        <w:spacing w:line="560" w:lineRule="exact"/>
        <w:rPr>
          <w:rFonts w:ascii="楷体" w:hAnsi="楷体" w:eastAsia="楷体" w:cs="楷体"/>
          <w:b/>
          <w:sz w:val="32"/>
          <w:szCs w:val="32"/>
        </w:rPr>
      </w:pPr>
      <w:r>
        <w:rPr>
          <w:rFonts w:hint="eastAsia" w:ascii="楷体" w:hAnsi="楷体" w:eastAsia="楷体" w:cs="楷体"/>
          <w:b/>
          <w:sz w:val="32"/>
          <w:szCs w:val="32"/>
        </w:rPr>
        <w:t>（二）政府采购支出情况。</w:t>
      </w:r>
      <w:bookmarkEnd w:id="89"/>
      <w:bookmarkEnd w:id="90"/>
      <w:bookmarkEnd w:id="91"/>
      <w:bookmarkEnd w:id="92"/>
      <w:bookmarkEnd w:id="93"/>
      <w:bookmarkEnd w:id="94"/>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2022年度秀英区旅游和文化体育局政府采购支出总额 241.71万元，其中：政府采购货物支出241.71万元、政府采购工程支出 0 万元、政府采购服务支出 0万元。授予中小企业合同金额 0万元，占政府采购支出总额的 0%，其中：授予小微企业合同金额 0 万元，占政府采购支出总额的 0%。</w:t>
      </w:r>
    </w:p>
    <w:p>
      <w:pPr>
        <w:spacing w:line="560" w:lineRule="exact"/>
        <w:ind w:firstLine="643" w:firstLineChars="200"/>
        <w:rPr>
          <w:rFonts w:ascii="楷体" w:hAnsi="楷体" w:eastAsia="楷体" w:cs="楷体"/>
          <w:b/>
          <w:sz w:val="32"/>
          <w:szCs w:val="32"/>
        </w:rPr>
      </w:pPr>
      <w:bookmarkStart w:id="95" w:name="_Toc527_WPSOffice_Level2"/>
      <w:bookmarkStart w:id="96" w:name="_Toc15129_WPSOffice_Level2"/>
      <w:bookmarkStart w:id="97" w:name="_Toc29584_WPSOffice_Level2"/>
      <w:bookmarkStart w:id="98" w:name="_Toc10902_WPSOffice_Level2"/>
      <w:bookmarkStart w:id="99" w:name="_Toc19989_WPSOffice_Level2"/>
      <w:bookmarkStart w:id="100" w:name="_Toc6016_WPSOffice_Level2"/>
      <w:r>
        <w:rPr>
          <w:rFonts w:hint="eastAsia" w:ascii="楷体" w:hAnsi="楷体" w:eastAsia="楷体" w:cs="楷体"/>
          <w:b/>
          <w:sz w:val="32"/>
          <w:szCs w:val="32"/>
        </w:rPr>
        <w:t>（三）国有资产占用情况。</w:t>
      </w:r>
      <w:bookmarkEnd w:id="95"/>
      <w:bookmarkEnd w:id="96"/>
      <w:bookmarkEnd w:id="97"/>
      <w:bookmarkEnd w:id="98"/>
      <w:bookmarkEnd w:id="99"/>
      <w:bookmarkEnd w:id="100"/>
    </w:p>
    <w:p>
      <w:pPr>
        <w:spacing w:line="560" w:lineRule="exact"/>
        <w:ind w:firstLine="640" w:firstLineChars="200"/>
        <w:rPr>
          <w:rFonts w:ascii="仿宋_GB2312" w:hAnsi="ˎ̥" w:eastAsia="仿宋_GB2312"/>
          <w:sz w:val="32"/>
          <w:szCs w:val="32"/>
        </w:rPr>
      </w:pPr>
      <w:r>
        <w:rPr>
          <w:rFonts w:hint="eastAsia" w:ascii="仿宋_GB2312" w:hAnsi="ˎ̥" w:eastAsia="仿宋_GB2312"/>
          <w:sz w:val="32"/>
          <w:szCs w:val="32"/>
        </w:rPr>
        <w:t>截至 2022年 12 月 31 日，本部门共有车辆</w:t>
      </w:r>
      <w:r>
        <w:rPr>
          <w:rFonts w:hint="eastAsia" w:ascii="仿宋_GB2312" w:hAnsi="ˎ̥" w:eastAsia="仿宋_GB2312"/>
          <w:sz w:val="32"/>
          <w:szCs w:val="32"/>
          <w:lang w:val="en-US" w:eastAsia="zh-CN"/>
        </w:rPr>
        <w:t>2</w:t>
      </w:r>
      <w:r>
        <w:rPr>
          <w:rFonts w:hint="eastAsia" w:ascii="仿宋_GB2312" w:hAnsi="ˎ̥" w:eastAsia="仿宋_GB2312"/>
          <w:sz w:val="32"/>
          <w:szCs w:val="32"/>
        </w:rPr>
        <w:t xml:space="preserve">辆，其中，部级领导干部用车 0辆、一般公务用车 </w:t>
      </w:r>
      <w:r>
        <w:rPr>
          <w:rFonts w:hint="eastAsia" w:ascii="仿宋_GB2312" w:hAnsi="ˎ̥" w:eastAsia="仿宋_GB2312"/>
          <w:sz w:val="32"/>
          <w:szCs w:val="32"/>
          <w:lang w:val="en-US" w:eastAsia="zh-CN"/>
        </w:rPr>
        <w:t>0</w:t>
      </w:r>
      <w:r>
        <w:rPr>
          <w:rFonts w:hint="eastAsia" w:ascii="仿宋_GB2312" w:hAnsi="ˎ̥" w:eastAsia="仿宋_GB2312"/>
          <w:sz w:val="32"/>
          <w:szCs w:val="32"/>
        </w:rPr>
        <w:t xml:space="preserve">辆、一般执法执勤用车 0辆、特种专业技术用车 0辆、其他用车 </w:t>
      </w:r>
      <w:r>
        <w:rPr>
          <w:rFonts w:hint="eastAsia" w:ascii="仿宋_GB2312" w:hAnsi="ˎ̥" w:eastAsia="仿宋_GB2312"/>
          <w:sz w:val="32"/>
          <w:szCs w:val="32"/>
          <w:lang w:val="en-US" w:eastAsia="zh-CN"/>
        </w:rPr>
        <w:t>2</w:t>
      </w:r>
      <w:r>
        <w:rPr>
          <w:rFonts w:hint="eastAsia" w:ascii="仿宋_GB2312" w:hAnsi="ˎ̥" w:eastAsia="仿宋_GB2312"/>
          <w:sz w:val="32"/>
          <w:szCs w:val="32"/>
        </w:rPr>
        <w:t>辆；单位价值 50 万元以上通用设备 0 台（套），单价 100 万元以上专用设备 0 台（套）。</w:t>
      </w:r>
    </w:p>
    <w:p>
      <w:pPr>
        <w:spacing w:line="560" w:lineRule="exact"/>
        <w:ind w:firstLine="640" w:firstLineChars="200"/>
        <w:rPr>
          <w:rFonts w:ascii="仿宋_GB2312" w:hAnsi="ˎ̥" w:eastAsia="仿宋_GB2312"/>
          <w:sz w:val="32"/>
          <w:szCs w:val="32"/>
        </w:rPr>
      </w:pPr>
    </w:p>
    <w:p>
      <w:pPr>
        <w:spacing w:line="560" w:lineRule="exact"/>
        <w:rPr>
          <w:rFonts w:ascii="仿宋_GB2312" w:hAnsi="ˎ̥" w:eastAsia="仿宋_GB2312"/>
          <w:sz w:val="32"/>
          <w:szCs w:val="32"/>
        </w:rPr>
      </w:pPr>
    </w:p>
    <w:p>
      <w:pPr>
        <w:jc w:val="center"/>
        <w:rPr>
          <w:rFonts w:ascii="黑体" w:hAnsi="ˎ̥" w:eastAsia="黑体"/>
          <w:sz w:val="32"/>
          <w:szCs w:val="32"/>
        </w:rPr>
      </w:pPr>
      <w:bookmarkStart w:id="101" w:name="_Toc17580_WPSOffice_Level1"/>
      <w:bookmarkStart w:id="102" w:name="_Toc4398_WPSOffice_Level1"/>
      <w:bookmarkStart w:id="103" w:name="_Toc8874_WPSOffice_Level1"/>
      <w:bookmarkStart w:id="104" w:name="_Toc11039_WPSOffice_Level1"/>
      <w:bookmarkStart w:id="105" w:name="_Toc8808_WPSOffice_Level1"/>
      <w:bookmarkStart w:id="106" w:name="_Toc15425_WPSOffice_Level1"/>
      <w:r>
        <w:rPr>
          <w:rFonts w:hint="eastAsia" w:ascii="黑体" w:hAnsi="ˎ̥" w:eastAsia="黑体"/>
          <w:sz w:val="32"/>
          <w:szCs w:val="32"/>
        </w:rPr>
        <w:t>第四部分  名词解释</w:t>
      </w:r>
      <w:bookmarkEnd w:id="101"/>
      <w:bookmarkEnd w:id="102"/>
      <w:bookmarkEnd w:id="103"/>
      <w:bookmarkEnd w:id="104"/>
      <w:bookmarkEnd w:id="105"/>
      <w:bookmarkEnd w:id="106"/>
    </w:p>
    <w:p>
      <w:pPr>
        <w:ind w:firstLine="640" w:firstLineChars="200"/>
        <w:rPr>
          <w:rFonts w:ascii="仿宋_GB2312" w:hAnsi="ˎ̥" w:eastAsia="仿宋_GB2312"/>
          <w:sz w:val="32"/>
          <w:szCs w:val="32"/>
        </w:rPr>
      </w:pPr>
      <w:r>
        <w:rPr>
          <w:rFonts w:hint="eastAsia" w:ascii="仿宋_GB2312" w:hAnsi="ˎ̥" w:eastAsia="仿宋_GB2312"/>
          <w:sz w:val="32"/>
          <w:szCs w:val="32"/>
        </w:rPr>
        <w:t>一、财政拨款收入：指本级财政当年拨付的资金。</w:t>
      </w:r>
    </w:p>
    <w:p>
      <w:pPr>
        <w:ind w:firstLine="640" w:firstLineChars="200"/>
        <w:rPr>
          <w:rFonts w:ascii="仿宋_GB2312" w:hAnsi="ˎ̥" w:eastAsia="仿宋_GB2312"/>
          <w:sz w:val="32"/>
          <w:szCs w:val="32"/>
        </w:rPr>
      </w:pPr>
      <w:r>
        <w:rPr>
          <w:rFonts w:hint="eastAsia" w:ascii="仿宋_GB2312" w:hAnsi="ˎ̥" w:eastAsia="仿宋_GB2312"/>
          <w:sz w:val="32"/>
          <w:szCs w:val="32"/>
        </w:rPr>
        <w:t>二、事业收入：指事业单位开展专业业务活动及辅助活动取得的收入。</w:t>
      </w:r>
    </w:p>
    <w:p>
      <w:pPr>
        <w:ind w:firstLine="640" w:firstLineChars="200"/>
        <w:rPr>
          <w:rFonts w:ascii="仿宋_GB2312" w:hAnsi="ˎ̥" w:eastAsia="仿宋_GB2312"/>
          <w:sz w:val="32"/>
          <w:szCs w:val="32"/>
        </w:rPr>
      </w:pPr>
      <w:r>
        <w:rPr>
          <w:rFonts w:hint="eastAsia" w:ascii="仿宋_GB2312" w:hAnsi="ˎ̥" w:eastAsia="仿宋_GB2312"/>
          <w:sz w:val="32"/>
          <w:szCs w:val="32"/>
        </w:rPr>
        <w:t>三、经营收入：指事业单位在专业业务活动及其辅助活动之外开展非独立核算经营活动取得的收入。</w:t>
      </w:r>
    </w:p>
    <w:p>
      <w:pPr>
        <w:ind w:firstLine="640" w:firstLineChars="200"/>
        <w:rPr>
          <w:rFonts w:ascii="仿宋_GB2312" w:hAnsi="ˎ̥" w:eastAsia="仿宋_GB2312"/>
          <w:sz w:val="32"/>
          <w:szCs w:val="32"/>
        </w:rPr>
      </w:pPr>
      <w:r>
        <w:rPr>
          <w:rFonts w:hint="eastAsia" w:ascii="仿宋_GB2312" w:hAnsi="ˎ̥" w:eastAsia="仿宋_GB2312"/>
          <w:sz w:val="32"/>
          <w:szCs w:val="32"/>
        </w:rPr>
        <w:t>四、其他收入：指除上述“财政拨款收入”“事业收入”“经营收入”等以外的收入。</w:t>
      </w:r>
    </w:p>
    <w:p>
      <w:pPr>
        <w:ind w:firstLine="640" w:firstLineChars="200"/>
        <w:rPr>
          <w:rFonts w:ascii="仿宋_GB2312" w:hAnsi="ˎ̥" w:eastAsia="仿宋_GB2312"/>
          <w:sz w:val="32"/>
          <w:szCs w:val="32"/>
        </w:rPr>
      </w:pPr>
      <w:r>
        <w:rPr>
          <w:rFonts w:hint="eastAsia" w:ascii="仿宋_GB2312" w:hAnsi="ˎ̥" w:eastAsia="仿宋_GB2312"/>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ind w:firstLine="640" w:firstLineChars="200"/>
        <w:rPr>
          <w:rFonts w:ascii="仿宋_GB2312" w:hAnsi="ˎ̥" w:eastAsia="仿宋_GB2312"/>
          <w:sz w:val="32"/>
          <w:szCs w:val="32"/>
        </w:rPr>
      </w:pPr>
      <w:r>
        <w:rPr>
          <w:rFonts w:hint="eastAsia" w:ascii="仿宋_GB2312" w:hAnsi="ˎ̥" w:eastAsia="仿宋_GB2312"/>
          <w:sz w:val="32"/>
          <w:szCs w:val="32"/>
        </w:rPr>
        <w:t>六、年初结转和结余：指以前年度尚未完成、结转到本年按有关规定继续使用的资金。</w:t>
      </w:r>
    </w:p>
    <w:p>
      <w:pPr>
        <w:ind w:firstLine="640" w:firstLineChars="200"/>
        <w:rPr>
          <w:rFonts w:ascii="仿宋_GB2312" w:hAnsi="ˎ̥" w:eastAsia="仿宋_GB2312"/>
          <w:sz w:val="32"/>
          <w:szCs w:val="32"/>
        </w:rPr>
      </w:pPr>
      <w:r>
        <w:rPr>
          <w:rFonts w:hint="eastAsia" w:ascii="仿宋_GB2312" w:hAnsi="ˎ̥" w:eastAsia="仿宋_GB2312"/>
          <w:sz w:val="32"/>
          <w:szCs w:val="32"/>
        </w:rPr>
        <w:t>七、结余分配：指事业单位按规定提取的职工福利基金、事业基金和缴纳的所得税，以及建设单位按规定应交回的基本建设竣工项目结余资金。</w:t>
      </w:r>
    </w:p>
    <w:p>
      <w:pPr>
        <w:ind w:firstLine="640" w:firstLineChars="200"/>
        <w:rPr>
          <w:rFonts w:ascii="仿宋_GB2312" w:hAnsi="ˎ̥" w:eastAsia="仿宋_GB2312"/>
          <w:sz w:val="32"/>
          <w:szCs w:val="32"/>
        </w:rPr>
      </w:pPr>
      <w:r>
        <w:rPr>
          <w:rFonts w:hint="eastAsia" w:ascii="仿宋_GB2312" w:hAnsi="ˎ̥" w:eastAsia="仿宋_GB2312"/>
          <w:sz w:val="32"/>
          <w:szCs w:val="32"/>
        </w:rPr>
        <w:t>八、年末结转和结余：指本年度或以前年度预算安排、因客观条件发生变化无法按原计划实施，需要延迟到以后年度按有关规定继续使用的资金。</w:t>
      </w:r>
    </w:p>
    <w:p>
      <w:pPr>
        <w:ind w:firstLine="640" w:firstLineChars="200"/>
        <w:rPr>
          <w:rFonts w:ascii="仿宋_GB2312" w:hAnsi="ˎ̥" w:eastAsia="仿宋_GB2312"/>
          <w:sz w:val="32"/>
          <w:szCs w:val="32"/>
        </w:rPr>
      </w:pPr>
      <w:r>
        <w:rPr>
          <w:rFonts w:hint="eastAsia" w:ascii="仿宋_GB2312" w:hAnsi="ˎ̥" w:eastAsia="仿宋_GB2312"/>
          <w:sz w:val="32"/>
          <w:szCs w:val="32"/>
        </w:rPr>
        <w:t>九、基本支出：指为保障机构正常运转、完成日常工作任务而发生的人员支出和公用支出。</w:t>
      </w:r>
    </w:p>
    <w:p>
      <w:pPr>
        <w:ind w:firstLine="640" w:firstLineChars="200"/>
        <w:rPr>
          <w:rFonts w:ascii="仿宋_GB2312" w:hAnsi="ˎ̥" w:eastAsia="仿宋_GB2312"/>
          <w:sz w:val="32"/>
          <w:szCs w:val="32"/>
        </w:rPr>
      </w:pPr>
      <w:r>
        <w:rPr>
          <w:rFonts w:hint="eastAsia" w:ascii="仿宋_GB2312" w:hAnsi="ˎ̥" w:eastAsia="仿宋_GB2312"/>
          <w:sz w:val="32"/>
          <w:szCs w:val="32"/>
        </w:rPr>
        <w:t>十、项目支出：指在基本支出之外为完成特定行政任务和事业发展目标所发生的支出。</w:t>
      </w:r>
    </w:p>
    <w:p>
      <w:pPr>
        <w:ind w:firstLine="640" w:firstLineChars="200"/>
        <w:rPr>
          <w:rFonts w:ascii="仿宋_GB2312" w:hAnsi="ˎ̥" w:eastAsia="仿宋_GB2312"/>
          <w:sz w:val="32"/>
          <w:szCs w:val="32"/>
        </w:rPr>
      </w:pPr>
      <w:r>
        <w:rPr>
          <w:rFonts w:hint="eastAsia" w:ascii="仿宋_GB2312" w:hAnsi="ˎ̥" w:eastAsia="仿宋_GB2312"/>
          <w:sz w:val="32"/>
          <w:szCs w:val="32"/>
        </w:rPr>
        <w:t>十一、经营支出：指事业单位在专业业务活动及其辅助活动之外开展非独立核算经营活动发生的支出。</w:t>
      </w:r>
    </w:p>
    <w:p>
      <w:pPr>
        <w:ind w:firstLine="640" w:firstLineChars="200"/>
        <w:rPr>
          <w:rFonts w:ascii="仿宋_GB2312" w:hAnsi="ˎ̥" w:eastAsia="仿宋_GB2312"/>
          <w:sz w:val="32"/>
          <w:szCs w:val="32"/>
        </w:rPr>
      </w:pPr>
      <w:r>
        <w:rPr>
          <w:rFonts w:hint="eastAsia" w:ascii="仿宋_GB2312" w:hAnsi="ˎ̥" w:eastAsia="仿宋_GB2312"/>
          <w:sz w:val="32"/>
          <w:szCs w:val="32"/>
        </w:rPr>
        <w:t>十二、“三公”经费：纳入本级财政预决算管理的“三公”经费，是指本级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firstLineChars="200"/>
        <w:rPr>
          <w:rFonts w:ascii="仿宋_GB2312" w:hAnsi="ˎ̥" w:eastAsia="仿宋_GB2312"/>
          <w:sz w:val="32"/>
          <w:szCs w:val="32"/>
        </w:rPr>
      </w:pPr>
      <w:r>
        <w:rPr>
          <w:rFonts w:hint="eastAsia" w:ascii="仿宋_GB2312" w:hAnsi="ˎ̥"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5"/>
        <w:rPr>
          <w:rFonts w:ascii="仿宋_GB2312" w:hAnsi="ˎ̥" w:eastAsia="仿宋_GB2312"/>
          <w:sz w:val="32"/>
          <w:szCs w:val="32"/>
        </w:rPr>
      </w:pPr>
      <w:r>
        <w:rPr>
          <w:rFonts w:hint="eastAsia" w:ascii="仿宋_GB2312" w:hAnsi="ˎ̥" w:eastAsia="仿宋_GB2312"/>
          <w:sz w:val="32"/>
          <w:szCs w:val="32"/>
        </w:rPr>
        <w:t>十四、（支出功能分类的名词解释，各部门（单位）根据实际支出情况填列）</w:t>
      </w:r>
    </w:p>
    <w:p>
      <w:pPr>
        <w:ind w:firstLine="640" w:firstLineChars="200"/>
        <w:rPr>
          <w:rFonts w:ascii="仿宋_GB2312" w:hAnsi="ˎ̥" w:eastAsia="仿宋_GB2312"/>
          <w:sz w:val="32"/>
          <w:szCs w:val="32"/>
        </w:rPr>
      </w:pPr>
      <w:r>
        <w:rPr>
          <w:rFonts w:hint="eastAsia" w:ascii="仿宋_GB2312" w:hAnsi="ˎ̥" w:eastAsia="仿宋_GB2312"/>
          <w:sz w:val="32"/>
          <w:szCs w:val="32"/>
        </w:rPr>
        <w:t>……</w:t>
      </w:r>
    </w:p>
    <w:p>
      <w:pPr>
        <w:ind w:firstLine="645"/>
        <w:rPr>
          <w:rFonts w:ascii="仿宋_GB2312" w:hAnsi="ˎ̥" w:eastAsia="仿宋_GB2312"/>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15</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928EF8"/>
    <w:multiLevelType w:val="singleLevel"/>
    <w:tmpl w:val="B9928EF8"/>
    <w:lvl w:ilvl="0" w:tentative="0">
      <w:start w:val="1"/>
      <w:numFmt w:val="chineseCounting"/>
      <w:suff w:val="nothing"/>
      <w:lvlText w:val="%1、"/>
      <w:lvlJc w:val="left"/>
      <w:pPr>
        <w:ind w:left="410"/>
      </w:pPr>
      <w:rPr>
        <w:rFonts w:hint="eastAsia"/>
      </w:rPr>
    </w:lvl>
  </w:abstractNum>
  <w:abstractNum w:abstractNumId="1">
    <w:nsid w:val="00F0E3C5"/>
    <w:multiLevelType w:val="singleLevel"/>
    <w:tmpl w:val="00F0E3C5"/>
    <w:lvl w:ilvl="0" w:tentative="0">
      <w:start w:val="1"/>
      <w:numFmt w:val="decimal"/>
      <w:lvlText w:val="%1."/>
      <w:lvlJc w:val="left"/>
      <w:pPr>
        <w:tabs>
          <w:tab w:val="left" w:pos="312"/>
        </w:tabs>
        <w:ind w:left="197"/>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5FA6F73"/>
    <w:rsid w:val="00020E38"/>
    <w:rsid w:val="00023753"/>
    <w:rsid w:val="00070AA4"/>
    <w:rsid w:val="00074FE6"/>
    <w:rsid w:val="000D293D"/>
    <w:rsid w:val="000E233B"/>
    <w:rsid w:val="001434AA"/>
    <w:rsid w:val="0017697D"/>
    <w:rsid w:val="00177F25"/>
    <w:rsid w:val="0019172C"/>
    <w:rsid w:val="001C1B0B"/>
    <w:rsid w:val="001C68B2"/>
    <w:rsid w:val="001E7C05"/>
    <w:rsid w:val="00206EB5"/>
    <w:rsid w:val="00237763"/>
    <w:rsid w:val="00254B00"/>
    <w:rsid w:val="00284490"/>
    <w:rsid w:val="002A1867"/>
    <w:rsid w:val="002B10B1"/>
    <w:rsid w:val="002B20CD"/>
    <w:rsid w:val="002D2B4E"/>
    <w:rsid w:val="00347272"/>
    <w:rsid w:val="003542A6"/>
    <w:rsid w:val="0037432A"/>
    <w:rsid w:val="003B0908"/>
    <w:rsid w:val="003D21B1"/>
    <w:rsid w:val="004155BE"/>
    <w:rsid w:val="004B2F77"/>
    <w:rsid w:val="004B3D02"/>
    <w:rsid w:val="004C11CE"/>
    <w:rsid w:val="00527B64"/>
    <w:rsid w:val="00533F61"/>
    <w:rsid w:val="00555868"/>
    <w:rsid w:val="005562BB"/>
    <w:rsid w:val="00586DCF"/>
    <w:rsid w:val="005B3C8C"/>
    <w:rsid w:val="005B7EF2"/>
    <w:rsid w:val="005C3F1F"/>
    <w:rsid w:val="00627185"/>
    <w:rsid w:val="00642958"/>
    <w:rsid w:val="006F2BE2"/>
    <w:rsid w:val="00745DB0"/>
    <w:rsid w:val="00760C38"/>
    <w:rsid w:val="00793745"/>
    <w:rsid w:val="007A6512"/>
    <w:rsid w:val="007C4B0F"/>
    <w:rsid w:val="007E45FE"/>
    <w:rsid w:val="008400A7"/>
    <w:rsid w:val="00846F76"/>
    <w:rsid w:val="008768C4"/>
    <w:rsid w:val="00890085"/>
    <w:rsid w:val="008958F3"/>
    <w:rsid w:val="008C672F"/>
    <w:rsid w:val="008E11EB"/>
    <w:rsid w:val="009055A0"/>
    <w:rsid w:val="00962DC0"/>
    <w:rsid w:val="00982671"/>
    <w:rsid w:val="009903B9"/>
    <w:rsid w:val="009B20A0"/>
    <w:rsid w:val="009B46AE"/>
    <w:rsid w:val="009C0775"/>
    <w:rsid w:val="009F1499"/>
    <w:rsid w:val="00A10854"/>
    <w:rsid w:val="00A5535A"/>
    <w:rsid w:val="00A826D9"/>
    <w:rsid w:val="00AF15F5"/>
    <w:rsid w:val="00B04C01"/>
    <w:rsid w:val="00B33E98"/>
    <w:rsid w:val="00BC71A6"/>
    <w:rsid w:val="00BD5B92"/>
    <w:rsid w:val="00BD62FA"/>
    <w:rsid w:val="00BE3A6F"/>
    <w:rsid w:val="00BE6CA1"/>
    <w:rsid w:val="00BF42C8"/>
    <w:rsid w:val="00BF55D4"/>
    <w:rsid w:val="00C36234"/>
    <w:rsid w:val="00C42AFD"/>
    <w:rsid w:val="00CA7BCC"/>
    <w:rsid w:val="00CD159B"/>
    <w:rsid w:val="00CD3B6B"/>
    <w:rsid w:val="00D252EB"/>
    <w:rsid w:val="00D56B37"/>
    <w:rsid w:val="00D773E8"/>
    <w:rsid w:val="00D91822"/>
    <w:rsid w:val="00DB5993"/>
    <w:rsid w:val="00DC4477"/>
    <w:rsid w:val="00E300C0"/>
    <w:rsid w:val="00E60A27"/>
    <w:rsid w:val="00E84D6C"/>
    <w:rsid w:val="00EA2DA8"/>
    <w:rsid w:val="00EB0A5A"/>
    <w:rsid w:val="00EB313D"/>
    <w:rsid w:val="00ED5157"/>
    <w:rsid w:val="00F13E37"/>
    <w:rsid w:val="00F40A00"/>
    <w:rsid w:val="00F833D1"/>
    <w:rsid w:val="00FA4B31"/>
    <w:rsid w:val="00FA5C48"/>
    <w:rsid w:val="00FB11A8"/>
    <w:rsid w:val="00FC4FBA"/>
    <w:rsid w:val="00FC69D8"/>
    <w:rsid w:val="00FD252D"/>
    <w:rsid w:val="00FE7F02"/>
    <w:rsid w:val="01A92D29"/>
    <w:rsid w:val="029C5735"/>
    <w:rsid w:val="02B22AE7"/>
    <w:rsid w:val="03804C82"/>
    <w:rsid w:val="0425170E"/>
    <w:rsid w:val="04E6456D"/>
    <w:rsid w:val="05E1603F"/>
    <w:rsid w:val="07643837"/>
    <w:rsid w:val="08216E6A"/>
    <w:rsid w:val="08A5417B"/>
    <w:rsid w:val="08B33509"/>
    <w:rsid w:val="08ED6B73"/>
    <w:rsid w:val="09430C2E"/>
    <w:rsid w:val="094B47DB"/>
    <w:rsid w:val="0A00211F"/>
    <w:rsid w:val="0A1703A8"/>
    <w:rsid w:val="0A976391"/>
    <w:rsid w:val="0B2B0DA8"/>
    <w:rsid w:val="0C9B1F19"/>
    <w:rsid w:val="0CAC503C"/>
    <w:rsid w:val="0EDE2F30"/>
    <w:rsid w:val="0EEF6732"/>
    <w:rsid w:val="0F002D09"/>
    <w:rsid w:val="10733E62"/>
    <w:rsid w:val="107F4E8B"/>
    <w:rsid w:val="110F030B"/>
    <w:rsid w:val="11465CB9"/>
    <w:rsid w:val="11B306A6"/>
    <w:rsid w:val="13511479"/>
    <w:rsid w:val="149A5D22"/>
    <w:rsid w:val="153B5DD7"/>
    <w:rsid w:val="15AB3DBA"/>
    <w:rsid w:val="15E260B9"/>
    <w:rsid w:val="16224152"/>
    <w:rsid w:val="171F44A3"/>
    <w:rsid w:val="172218EE"/>
    <w:rsid w:val="1788059E"/>
    <w:rsid w:val="17AD320E"/>
    <w:rsid w:val="18C4645C"/>
    <w:rsid w:val="19922FF9"/>
    <w:rsid w:val="19EA1276"/>
    <w:rsid w:val="1A4C7B7E"/>
    <w:rsid w:val="1A96147A"/>
    <w:rsid w:val="1F3C5E12"/>
    <w:rsid w:val="1F3E56E7"/>
    <w:rsid w:val="1F844D4A"/>
    <w:rsid w:val="20122C97"/>
    <w:rsid w:val="2015726D"/>
    <w:rsid w:val="22FA5BD3"/>
    <w:rsid w:val="236E6B6A"/>
    <w:rsid w:val="239D1AB0"/>
    <w:rsid w:val="249364B1"/>
    <w:rsid w:val="24997A6D"/>
    <w:rsid w:val="2542092A"/>
    <w:rsid w:val="25D61613"/>
    <w:rsid w:val="278A608A"/>
    <w:rsid w:val="28530729"/>
    <w:rsid w:val="28C95C57"/>
    <w:rsid w:val="2BE5477C"/>
    <w:rsid w:val="2C083FE4"/>
    <w:rsid w:val="2DCE685F"/>
    <w:rsid w:val="2E7155BC"/>
    <w:rsid w:val="2EC1790B"/>
    <w:rsid w:val="2F240117"/>
    <w:rsid w:val="2FE3368E"/>
    <w:rsid w:val="304E122A"/>
    <w:rsid w:val="325422BF"/>
    <w:rsid w:val="344A435E"/>
    <w:rsid w:val="34C034A9"/>
    <w:rsid w:val="34CF42BE"/>
    <w:rsid w:val="34D72DCA"/>
    <w:rsid w:val="35ED6336"/>
    <w:rsid w:val="35FA6F73"/>
    <w:rsid w:val="36763CDE"/>
    <w:rsid w:val="36CE6B3C"/>
    <w:rsid w:val="37B9473C"/>
    <w:rsid w:val="37DC5055"/>
    <w:rsid w:val="38653C37"/>
    <w:rsid w:val="38930A40"/>
    <w:rsid w:val="395C109B"/>
    <w:rsid w:val="39FC570A"/>
    <w:rsid w:val="3A2236D0"/>
    <w:rsid w:val="3AA325E2"/>
    <w:rsid w:val="3AE67FCB"/>
    <w:rsid w:val="3B642AD1"/>
    <w:rsid w:val="3B914B17"/>
    <w:rsid w:val="3BC77FCA"/>
    <w:rsid w:val="3CCA59B9"/>
    <w:rsid w:val="3CCD2DA9"/>
    <w:rsid w:val="3CE26DA1"/>
    <w:rsid w:val="3D186903"/>
    <w:rsid w:val="3DCA48BF"/>
    <w:rsid w:val="3E08376B"/>
    <w:rsid w:val="3E5B6612"/>
    <w:rsid w:val="3F120166"/>
    <w:rsid w:val="40BE0A6C"/>
    <w:rsid w:val="41561ADE"/>
    <w:rsid w:val="421C27FC"/>
    <w:rsid w:val="435928B1"/>
    <w:rsid w:val="443B12D0"/>
    <w:rsid w:val="443F0700"/>
    <w:rsid w:val="44555778"/>
    <w:rsid w:val="44584E24"/>
    <w:rsid w:val="44622C0C"/>
    <w:rsid w:val="45825781"/>
    <w:rsid w:val="45890BF9"/>
    <w:rsid w:val="46452092"/>
    <w:rsid w:val="46821FB8"/>
    <w:rsid w:val="47E34E6D"/>
    <w:rsid w:val="487215D8"/>
    <w:rsid w:val="49AD4B6B"/>
    <w:rsid w:val="4A137636"/>
    <w:rsid w:val="4A2E4F91"/>
    <w:rsid w:val="4AB56F47"/>
    <w:rsid w:val="4AEB5178"/>
    <w:rsid w:val="4C6A3E7B"/>
    <w:rsid w:val="4D2B07B2"/>
    <w:rsid w:val="4F882833"/>
    <w:rsid w:val="4FEF1C08"/>
    <w:rsid w:val="507E40CE"/>
    <w:rsid w:val="51364A5E"/>
    <w:rsid w:val="52111E19"/>
    <w:rsid w:val="52A312B3"/>
    <w:rsid w:val="52C51CDE"/>
    <w:rsid w:val="53341957"/>
    <w:rsid w:val="537C5FC2"/>
    <w:rsid w:val="53DE4E9C"/>
    <w:rsid w:val="54014354"/>
    <w:rsid w:val="567070B9"/>
    <w:rsid w:val="57277C8A"/>
    <w:rsid w:val="59467ABB"/>
    <w:rsid w:val="59645464"/>
    <w:rsid w:val="59C261B2"/>
    <w:rsid w:val="5A110351"/>
    <w:rsid w:val="5BCA0B82"/>
    <w:rsid w:val="5BD019BC"/>
    <w:rsid w:val="5D5275A8"/>
    <w:rsid w:val="5E3F6B82"/>
    <w:rsid w:val="5E512438"/>
    <w:rsid w:val="5EC46470"/>
    <w:rsid w:val="5ED32D6D"/>
    <w:rsid w:val="5EEA051F"/>
    <w:rsid w:val="5EF5051F"/>
    <w:rsid w:val="60702FEE"/>
    <w:rsid w:val="60B07C26"/>
    <w:rsid w:val="60D75E84"/>
    <w:rsid w:val="64B967AE"/>
    <w:rsid w:val="64BA4FCD"/>
    <w:rsid w:val="64E45E85"/>
    <w:rsid w:val="65D308CE"/>
    <w:rsid w:val="6646176B"/>
    <w:rsid w:val="66D57966"/>
    <w:rsid w:val="67051F25"/>
    <w:rsid w:val="671E1301"/>
    <w:rsid w:val="68573F18"/>
    <w:rsid w:val="68586EC8"/>
    <w:rsid w:val="68A54D81"/>
    <w:rsid w:val="68BA593C"/>
    <w:rsid w:val="68C569AA"/>
    <w:rsid w:val="68FD6E71"/>
    <w:rsid w:val="69133BF7"/>
    <w:rsid w:val="694E6ACF"/>
    <w:rsid w:val="6961595F"/>
    <w:rsid w:val="696261DC"/>
    <w:rsid w:val="69B1621D"/>
    <w:rsid w:val="6A8E2B4E"/>
    <w:rsid w:val="6BEE2D7B"/>
    <w:rsid w:val="6C1B7476"/>
    <w:rsid w:val="6C2309E6"/>
    <w:rsid w:val="6CA85295"/>
    <w:rsid w:val="6CDF654B"/>
    <w:rsid w:val="6CE24A0B"/>
    <w:rsid w:val="6CFA5D05"/>
    <w:rsid w:val="6DB37437"/>
    <w:rsid w:val="6E8D2374"/>
    <w:rsid w:val="6E9A6992"/>
    <w:rsid w:val="6FA22F26"/>
    <w:rsid w:val="6FC37BD7"/>
    <w:rsid w:val="712772E6"/>
    <w:rsid w:val="71EA78D8"/>
    <w:rsid w:val="725577D6"/>
    <w:rsid w:val="748F6536"/>
    <w:rsid w:val="763C3C4F"/>
    <w:rsid w:val="765B3B4F"/>
    <w:rsid w:val="768221E9"/>
    <w:rsid w:val="76874699"/>
    <w:rsid w:val="7967585A"/>
    <w:rsid w:val="7A1655C9"/>
    <w:rsid w:val="7A35466E"/>
    <w:rsid w:val="7AB02971"/>
    <w:rsid w:val="7ABD508B"/>
    <w:rsid w:val="7BCB5E27"/>
    <w:rsid w:val="7CE121B0"/>
    <w:rsid w:val="7D1E436E"/>
    <w:rsid w:val="7DFD117F"/>
    <w:rsid w:val="7E1A54C3"/>
    <w:rsid w:val="7E4060C5"/>
    <w:rsid w:val="7F3F09E1"/>
    <w:rsid w:val="7F41201D"/>
    <w:rsid w:val="7FA446D1"/>
    <w:rsid w:val="7FA86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style>
  <w:style w:type="paragraph" w:customStyle="1" w:styleId="7">
    <w:name w:val="正文1 Char Char Char"/>
    <w:basedOn w:val="1"/>
    <w:qFormat/>
    <w:uiPriority w:val="0"/>
    <w:pPr>
      <w:spacing w:line="360" w:lineRule="auto"/>
      <w:ind w:firstLine="200" w:firstLineChars="200"/>
    </w:p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0">
    <w:name w:val="p26"/>
    <w:basedOn w:val="1"/>
    <w:qFormat/>
    <w:uiPriority w:val="0"/>
    <w:pPr>
      <w:widowControl/>
      <w:jc w:val="left"/>
    </w:pPr>
    <w:rPr>
      <w:kern w:val="0"/>
      <w:sz w:val="20"/>
      <w:szCs w:val="20"/>
    </w:r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12FFC2-6EF7-411A-84C8-9DE8B87CD697}">
  <ds:schemaRefs/>
</ds:datastoreItem>
</file>

<file path=docProps/app.xml><?xml version="1.0" encoding="utf-8"?>
<Properties xmlns="http://schemas.openxmlformats.org/officeDocument/2006/extended-properties" xmlns:vt="http://schemas.openxmlformats.org/officeDocument/2006/docPropsVTypes">
  <Template>Normal</Template>
  <Company>秀英区</Company>
  <Pages>18</Pages>
  <Words>7082</Words>
  <Characters>2113</Characters>
  <Lines>17</Lines>
  <Paragraphs>18</Paragraphs>
  <TotalTime>292</TotalTime>
  <ScaleCrop>false</ScaleCrop>
  <LinksUpToDate>false</LinksUpToDate>
  <CharactersWithSpaces>9177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2021-09-16T07:07:00Z</dcterms:created>
  <dc:creator>Administrator</dc:creator>
  <cp:lastModifiedBy>Administrator</cp:lastModifiedBy>
  <dcterms:modified xsi:type="dcterms:W3CDTF">2024-01-18T08:45:55Z</dcterms:modified>
  <dc:title>附件1</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