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textAlignment w:val="auto"/>
        <w:rPr>
          <w:rFonts w:hint="eastAsia" w:ascii="宋体" w:hAnsi="宋体" w:eastAsia="宋体"/>
          <w:sz w:val="30"/>
          <w:szCs w:val="30"/>
          <w:lang w:eastAsia="zh-CN"/>
        </w:rPr>
      </w:pPr>
      <w:r>
        <w:rPr>
          <w:rFonts w:hint="eastAsia" w:ascii="黑体" w:hAnsi="宋体" w:eastAsia="黑体"/>
          <w:sz w:val="32"/>
          <w:szCs w:val="32"/>
        </w:rPr>
        <w:t>附件</w:t>
      </w:r>
      <w:r>
        <w:rPr>
          <w:rFonts w:hint="eastAsia" w:ascii="黑体" w:hAnsi="宋体" w:eastAsia="黑体"/>
          <w:sz w:val="32"/>
          <w:szCs w:val="32"/>
          <w:lang w:val="en-US" w:eastAsia="zh-CN"/>
        </w:rPr>
        <w:t>2</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ˎ̥" w:eastAsia="黑体"/>
          <w:sz w:val="44"/>
          <w:szCs w:val="44"/>
          <w:lang w:eastAsia="zh-CN"/>
        </w:rPr>
      </w:pPr>
      <w:r>
        <w:rPr>
          <w:rFonts w:hint="eastAsia" w:ascii="黑体" w:hAnsi="ˎ̥" w:eastAsia="黑体"/>
          <w:sz w:val="44"/>
          <w:szCs w:val="44"/>
          <w:lang w:eastAsia="zh-CN"/>
        </w:rPr>
        <w:t>海口市秀英区人力资源和社会保障局（</w:t>
      </w:r>
      <w:r>
        <w:rPr>
          <w:rFonts w:hint="eastAsia" w:ascii="黑体" w:hAnsi="ˎ̥" w:eastAsia="黑体"/>
          <w:sz w:val="44"/>
          <w:szCs w:val="44"/>
          <w:lang w:val="en-US" w:eastAsia="zh-CN"/>
        </w:rPr>
        <w:t>本级</w:t>
      </w:r>
      <w:r>
        <w:rPr>
          <w:rFonts w:hint="eastAsia" w:ascii="黑体" w:hAnsi="ˎ̥" w:eastAsia="黑体"/>
          <w:sz w:val="44"/>
          <w:szCs w:val="44"/>
          <w:lang w:eastAsia="zh-CN"/>
        </w:rPr>
        <w:t>）</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ˎ̥" w:eastAsia="黑体"/>
          <w:sz w:val="44"/>
          <w:szCs w:val="44"/>
          <w:lang w:val="en-US" w:eastAsia="zh-CN"/>
        </w:rPr>
      </w:pPr>
      <w:r>
        <w:rPr>
          <w:rFonts w:hint="eastAsia" w:ascii="黑体" w:hAnsi="ˎ̥" w:eastAsia="黑体"/>
          <w:sz w:val="44"/>
          <w:szCs w:val="44"/>
          <w:lang w:eastAsia="zh-CN"/>
        </w:rPr>
        <w:t>202</w:t>
      </w:r>
      <w:r>
        <w:rPr>
          <w:rFonts w:hint="eastAsia" w:ascii="黑体" w:hAnsi="ˎ̥" w:eastAsia="黑体"/>
          <w:sz w:val="44"/>
          <w:szCs w:val="44"/>
          <w:lang w:val="en-US" w:eastAsia="zh-CN"/>
        </w:rPr>
        <w:t>1</w:t>
      </w:r>
      <w:r>
        <w:rPr>
          <w:rFonts w:hint="eastAsia" w:ascii="黑体" w:hAnsi="ˎ̥" w:eastAsia="黑体"/>
          <w:sz w:val="44"/>
          <w:szCs w:val="44"/>
          <w:lang w:eastAsia="zh-CN"/>
        </w:rPr>
        <w:t>年度</w:t>
      </w:r>
      <w:r>
        <w:rPr>
          <w:rFonts w:hint="eastAsia" w:ascii="黑体" w:hAnsi="ˎ̥" w:eastAsia="黑体"/>
          <w:sz w:val="44"/>
          <w:szCs w:val="44"/>
          <w:lang w:val="en-US" w:eastAsia="zh-CN"/>
        </w:rPr>
        <w:t>单位</w:t>
      </w:r>
      <w:r>
        <w:rPr>
          <w:rFonts w:hint="eastAsia" w:ascii="黑体" w:hAnsi="ˎ̥" w:eastAsia="黑体"/>
          <w:sz w:val="44"/>
          <w:szCs w:val="44"/>
        </w:rPr>
        <w:t>决算</w:t>
      </w:r>
      <w:r>
        <w:rPr>
          <w:rFonts w:hint="eastAsia" w:ascii="黑体" w:hAnsi="ˎ̥" w:eastAsia="黑体"/>
          <w:sz w:val="44"/>
          <w:szCs w:val="44"/>
          <w:lang w:val="en-US" w:eastAsia="zh-CN"/>
        </w:rPr>
        <w:t>说明</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ˎ̥" w:eastAsia="黑体"/>
          <w:b/>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6"/>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秀英区人社局单位概况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单位</w:t>
      </w:r>
      <w:r>
        <w:rPr>
          <w:rFonts w:hint="eastAsia" w:ascii="仿宋" w:hAnsi="仿宋" w:eastAsia="仿宋" w:cs="仿宋"/>
          <w:sz w:val="32"/>
          <w:szCs w:val="32"/>
        </w:rPr>
        <w:t>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秀英区人社局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秀英区人社局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7"/>
        <w:keepNext w:val="0"/>
        <w:keepLines w:val="0"/>
        <w:pageBreakBefore w:val="0"/>
        <w:numPr>
          <w:ilvl w:val="0"/>
          <w:numId w:val="1"/>
        </w:numPr>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7"/>
        <w:keepNext w:val="0"/>
        <w:keepLines w:val="0"/>
        <w:pageBreakBefore w:val="0"/>
        <w:numPr>
          <w:ilvl w:val="0"/>
          <w:numId w:val="1"/>
        </w:numPr>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7"/>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6"/>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keepNext w:val="0"/>
        <w:keepLines w:val="0"/>
        <w:pageBreakBefore w:val="0"/>
        <w:kinsoku/>
        <w:wordWrap/>
        <w:overflowPunct/>
        <w:topLinePunct w:val="0"/>
        <w:autoSpaceDE/>
        <w:autoSpaceDN/>
        <w:bidi w:val="0"/>
        <w:adjustRightInd/>
        <w:snapToGrid/>
        <w:spacing w:line="620" w:lineRule="exact"/>
        <w:jc w:val="lef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ˎ̥" w:eastAsia="黑体"/>
          <w:b/>
          <w:sz w:val="32"/>
          <w:szCs w:val="32"/>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ˎ̥" w:eastAsia="黑体"/>
          <w:b/>
          <w:sz w:val="32"/>
          <w:szCs w:val="32"/>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ˎ̥" w:eastAsia="黑体"/>
          <w:b/>
          <w:sz w:val="32"/>
          <w:szCs w:val="32"/>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ˎ̥" w:eastAsia="黑体"/>
          <w:sz w:val="32"/>
          <w:szCs w:val="32"/>
        </w:rPr>
      </w:pPr>
      <w:bookmarkStart w:id="2" w:name="_Toc10049_WPSOffice_Level1"/>
      <w:bookmarkStart w:id="3" w:name="_Toc22941_WPSOffice_Level1"/>
      <w:bookmarkStart w:id="4" w:name="_Toc10720_WPSOffice_Level1"/>
      <w:bookmarkStart w:id="5" w:name="_Toc1704_WPSOffice_Level1"/>
      <w:bookmarkStart w:id="6" w:name="_Toc32433_WPSOffice_Level1"/>
      <w:bookmarkStart w:id="7" w:name="_Toc23465_WPSOffice_Level1"/>
      <w:bookmarkStart w:id="8" w:name="_Toc24238_WPSOffice_Level2"/>
      <w:bookmarkStart w:id="9" w:name="_Toc20205_WPSOffice_Level2"/>
      <w:bookmarkStart w:id="10" w:name="_Toc32622_WPSOffice_Level2"/>
      <w:bookmarkStart w:id="11" w:name="_Toc26580_WPSOffice_Level2"/>
      <w:bookmarkStart w:id="12" w:name="_Toc20274_WPSOffice_Level2"/>
      <w:bookmarkStart w:id="13" w:name="_Toc14159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黑体" w:eastAsia="黑体" w:cs="黑体"/>
          <w:sz w:val="32"/>
          <w:szCs w:val="32"/>
        </w:rPr>
        <w:t>海口市秀英区人力资源和社会保障局</w:t>
      </w:r>
      <w:r>
        <w:rPr>
          <w:rFonts w:hint="eastAsia" w:ascii="黑体" w:hAnsi="ˎ̥" w:eastAsia="黑体"/>
          <w:b w:val="0"/>
          <w:bCs w:val="0"/>
          <w:sz w:val="32"/>
          <w:szCs w:val="32"/>
          <w:lang w:val="en-US" w:eastAsia="zh-CN"/>
        </w:rPr>
        <w:t>单位</w:t>
      </w:r>
      <w:r>
        <w:rPr>
          <w:rFonts w:hint="eastAsia" w:ascii="黑体" w:hAnsi="ˎ̥" w:eastAsia="黑体"/>
          <w:sz w:val="32"/>
          <w:szCs w:val="32"/>
        </w:rPr>
        <w:t>概况</w:t>
      </w:r>
      <w:bookmarkEnd w:id="2"/>
      <w:bookmarkEnd w:id="3"/>
      <w:bookmarkEnd w:id="4"/>
      <w:bookmarkEnd w:id="5"/>
      <w:bookmarkEnd w:id="6"/>
      <w:bookmarkEnd w:id="7"/>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sz w:val="32"/>
          <w:szCs w:val="32"/>
          <w:lang w:eastAsia="zh-CN"/>
        </w:rPr>
      </w:pPr>
    </w:p>
    <w:bookmarkEnd w:id="8"/>
    <w:p>
      <w:pPr>
        <w:keepNext w:val="0"/>
        <w:keepLines w:val="0"/>
        <w:pageBreakBefore w:val="0"/>
        <w:numPr>
          <w:ilvl w:val="0"/>
          <w:numId w:val="2"/>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keepNext w:val="0"/>
        <w:keepLines w:val="0"/>
        <w:pageBreakBefore w:val="0"/>
        <w:kinsoku/>
        <w:wordWrap/>
        <w:overflowPunct/>
        <w:topLinePunct w:val="0"/>
        <w:autoSpaceDE/>
        <w:autoSpaceDN/>
        <w:bidi w:val="0"/>
        <w:adjustRightInd/>
        <w:snapToGrid/>
        <w:spacing w:line="620" w:lineRule="exact"/>
        <w:ind w:right="-378" w:rightChars="-180" w:firstLine="640" w:firstLineChars="200"/>
        <w:textAlignment w:val="auto"/>
        <w:rPr>
          <w:rFonts w:ascii="仿宋_GB2312" w:hAnsi="新宋体" w:eastAsia="仿宋_GB2312"/>
          <w:sz w:val="32"/>
          <w:szCs w:val="32"/>
        </w:rPr>
      </w:pPr>
      <w:r>
        <w:rPr>
          <w:rFonts w:hint="eastAsia" w:ascii="仿宋_GB2312" w:hAnsi="新宋体" w:eastAsia="仿宋_GB2312" w:cs="仿宋_GB2312"/>
          <w:sz w:val="32"/>
          <w:szCs w:val="32"/>
        </w:rPr>
        <w:t>（一）贯彻执行国家、省、市</w:t>
      </w:r>
      <w:bookmarkStart w:id="101" w:name="_GoBack"/>
      <w:bookmarkEnd w:id="101"/>
      <w:r>
        <w:rPr>
          <w:rFonts w:hint="eastAsia" w:ascii="仿宋_GB2312" w:hAnsi="新宋体" w:eastAsia="仿宋_GB2312" w:cs="仿宋_GB2312"/>
          <w:sz w:val="32"/>
          <w:szCs w:val="32"/>
        </w:rPr>
        <w:t>人力资源和社会保障工作方针政策和法律法规；拟定全区人力资源和社会保障工作有关政策措施、发展规划和年度计划并组织实施。</w:t>
      </w:r>
    </w:p>
    <w:p>
      <w:pPr>
        <w:keepNext w:val="0"/>
        <w:keepLines w:val="0"/>
        <w:pageBreakBefore w:val="0"/>
        <w:kinsoku/>
        <w:wordWrap/>
        <w:overflowPunct/>
        <w:topLinePunct w:val="0"/>
        <w:autoSpaceDE/>
        <w:autoSpaceDN/>
        <w:bidi w:val="0"/>
        <w:adjustRightInd/>
        <w:snapToGrid/>
        <w:spacing w:line="620" w:lineRule="exact"/>
        <w:ind w:right="-378" w:rightChars="-180" w:firstLine="640" w:firstLineChars="200"/>
        <w:textAlignment w:val="auto"/>
        <w:rPr>
          <w:rFonts w:ascii="仿宋_GB2312" w:hAnsi="新宋体" w:eastAsia="仿宋_GB2312"/>
          <w:sz w:val="32"/>
          <w:szCs w:val="32"/>
        </w:rPr>
      </w:pPr>
      <w:r>
        <w:rPr>
          <w:rFonts w:hint="eastAsia" w:ascii="仿宋_GB2312" w:hAnsi="新宋体" w:eastAsia="仿宋_GB2312" w:cs="仿宋_GB2312"/>
          <w:sz w:val="32"/>
          <w:szCs w:val="32"/>
        </w:rPr>
        <w:t>（二）建立统一规范的人力资源市场，促进全区范围内人力资源合理流动和有效配置，会同有关部门拟订人才引进政策并组织实施。</w:t>
      </w:r>
    </w:p>
    <w:p>
      <w:pPr>
        <w:keepNext w:val="0"/>
        <w:keepLines w:val="0"/>
        <w:pageBreakBefore w:val="0"/>
        <w:kinsoku/>
        <w:wordWrap/>
        <w:overflowPunct/>
        <w:topLinePunct w:val="0"/>
        <w:autoSpaceDE/>
        <w:autoSpaceDN/>
        <w:bidi w:val="0"/>
        <w:adjustRightInd/>
        <w:snapToGrid/>
        <w:spacing w:line="620" w:lineRule="exact"/>
        <w:ind w:right="-378" w:rightChars="-180" w:firstLine="640" w:firstLineChars="200"/>
        <w:textAlignment w:val="auto"/>
        <w:rPr>
          <w:rFonts w:ascii="仿宋_GB2312" w:hAnsi="新宋体" w:eastAsia="仿宋_GB2312"/>
          <w:sz w:val="32"/>
          <w:szCs w:val="32"/>
        </w:rPr>
      </w:pPr>
      <w:r>
        <w:rPr>
          <w:rFonts w:hint="eastAsia" w:ascii="仿宋_GB2312" w:hAnsi="新宋体" w:eastAsia="仿宋_GB2312" w:cs="仿宋_GB2312"/>
          <w:sz w:val="32"/>
          <w:szCs w:val="32"/>
        </w:rPr>
        <w:t>（三）负责全区促进就业工作。健全公共就业服务体系；实行职业资格制度、就业援助制度、职业培训制度、就业失业登记制度和劳动预备制度；执行高校毕业生就业政策；组织和监管技能培训、就业培训、创业培训和就业引导工作。</w:t>
      </w:r>
    </w:p>
    <w:p>
      <w:pPr>
        <w:keepNext w:val="0"/>
        <w:keepLines w:val="0"/>
        <w:pageBreakBefore w:val="0"/>
        <w:kinsoku/>
        <w:wordWrap/>
        <w:overflowPunct/>
        <w:topLinePunct w:val="0"/>
        <w:autoSpaceDE/>
        <w:autoSpaceDN/>
        <w:bidi w:val="0"/>
        <w:adjustRightInd/>
        <w:snapToGrid/>
        <w:spacing w:line="620" w:lineRule="exact"/>
        <w:ind w:right="-378" w:rightChars="-180" w:firstLine="640" w:firstLineChars="200"/>
        <w:textAlignment w:val="auto"/>
        <w:rPr>
          <w:rFonts w:ascii="仿宋_GB2312" w:hAnsi="新宋体" w:eastAsia="仿宋_GB2312"/>
          <w:sz w:val="32"/>
          <w:szCs w:val="32"/>
        </w:rPr>
      </w:pPr>
      <w:r>
        <w:rPr>
          <w:rFonts w:hint="eastAsia" w:ascii="仿宋_GB2312" w:hAnsi="新宋体" w:eastAsia="仿宋_GB2312" w:cs="仿宋_GB2312"/>
          <w:sz w:val="32"/>
          <w:szCs w:val="32"/>
        </w:rPr>
        <w:t>（四）综合管理全区社会保险工作。实行城乡居民基本医疗保险和基本养老保险制度，组织实施城乡从业人员养老、失业、医疗、工伤、生育保险和农村养老、城镇居民基本医疗、城镇居民基本养老等社会保险政策法规；统筹建立全区城乡一体的社会保障体系。</w:t>
      </w:r>
    </w:p>
    <w:p>
      <w:pPr>
        <w:keepNext w:val="0"/>
        <w:keepLines w:val="0"/>
        <w:pageBreakBefore w:val="0"/>
        <w:kinsoku/>
        <w:wordWrap/>
        <w:overflowPunct/>
        <w:topLinePunct w:val="0"/>
        <w:autoSpaceDE/>
        <w:autoSpaceDN/>
        <w:bidi w:val="0"/>
        <w:adjustRightInd/>
        <w:snapToGrid/>
        <w:spacing w:line="620" w:lineRule="exact"/>
        <w:ind w:right="-378" w:rightChars="-180" w:firstLine="640" w:firstLineChars="200"/>
        <w:textAlignment w:val="auto"/>
        <w:rPr>
          <w:rFonts w:ascii="仿宋_GB2312" w:hAnsi="新宋体" w:eastAsia="仿宋_GB2312"/>
          <w:sz w:val="32"/>
          <w:szCs w:val="32"/>
        </w:rPr>
      </w:pPr>
      <w:r>
        <w:rPr>
          <w:rFonts w:hint="eastAsia" w:ascii="仿宋_GB2312" w:hAnsi="新宋体" w:eastAsia="仿宋_GB2312" w:cs="仿宋_GB2312"/>
          <w:sz w:val="32"/>
          <w:szCs w:val="32"/>
        </w:rPr>
        <w:t>（五）综合管理全区机关、事业单位工资福利事务。负责工资调整、晋升的协调指导及审核、审批工作；负责贯彻执行机关、企事业单位人员福利和离退休政策。指导、协调全区退休人员社会化管理服务工作。指导企业落实职工工资收入分配制度和工资集体协商工作。</w:t>
      </w:r>
    </w:p>
    <w:p>
      <w:pPr>
        <w:keepNext w:val="0"/>
        <w:keepLines w:val="0"/>
        <w:pageBreakBefore w:val="0"/>
        <w:kinsoku/>
        <w:wordWrap/>
        <w:overflowPunct/>
        <w:topLinePunct w:val="0"/>
        <w:autoSpaceDE/>
        <w:autoSpaceDN/>
        <w:bidi w:val="0"/>
        <w:adjustRightInd/>
        <w:snapToGrid/>
        <w:spacing w:line="620" w:lineRule="exact"/>
        <w:ind w:right="-378" w:rightChars="-180" w:firstLine="640" w:firstLineChars="200"/>
        <w:textAlignment w:val="auto"/>
        <w:rPr>
          <w:rFonts w:ascii="仿宋_GB2312" w:hAnsi="新宋体" w:eastAsia="仿宋_GB2312"/>
          <w:sz w:val="32"/>
          <w:szCs w:val="32"/>
        </w:rPr>
      </w:pPr>
      <w:r>
        <w:rPr>
          <w:rFonts w:hint="eastAsia" w:ascii="仿宋_GB2312" w:hAnsi="新宋体" w:eastAsia="仿宋_GB2312" w:cs="仿宋_GB2312"/>
          <w:sz w:val="32"/>
          <w:szCs w:val="32"/>
        </w:rPr>
        <w:t>（六）指导行政机关事业单位人事制度改革和人事管理工作；组织实施专业技术人员管理和继续教育工作，负责机关、事业单位初级专业技术职务资格评审和中、高级专业技术职务资格推荐上报工作；指导和审定专业技术岗位评聘工作。</w:t>
      </w:r>
    </w:p>
    <w:p>
      <w:pPr>
        <w:keepNext w:val="0"/>
        <w:keepLines w:val="0"/>
        <w:pageBreakBefore w:val="0"/>
        <w:kinsoku/>
        <w:wordWrap/>
        <w:overflowPunct/>
        <w:topLinePunct w:val="0"/>
        <w:autoSpaceDE/>
        <w:autoSpaceDN/>
        <w:bidi w:val="0"/>
        <w:adjustRightInd/>
        <w:snapToGrid/>
        <w:spacing w:line="620" w:lineRule="exact"/>
        <w:ind w:right="-378" w:rightChars="-180" w:firstLine="640" w:firstLineChars="200"/>
        <w:textAlignment w:val="auto"/>
        <w:rPr>
          <w:rFonts w:ascii="仿宋_GB2312" w:hAnsi="新宋体" w:eastAsia="仿宋_GB2312"/>
          <w:sz w:val="32"/>
          <w:szCs w:val="32"/>
        </w:rPr>
      </w:pPr>
      <w:r>
        <w:rPr>
          <w:rFonts w:hint="eastAsia" w:ascii="仿宋_GB2312" w:hAnsi="新宋体" w:eastAsia="仿宋_GB2312" w:cs="仿宋_GB2312"/>
          <w:sz w:val="32"/>
          <w:szCs w:val="32"/>
        </w:rPr>
        <w:t>（七）负责行政机关公务员和事业单位工作人员职位分类、登记、考核、奖惩、任免、培训、辞职、辞退、交流、回避等综合管理工作；负责全区各级机关、事业单位人员计划管理和相关信息统计、人员调配、人事档案管理工作；负责审核全区行政表彰奖励工作。</w:t>
      </w:r>
    </w:p>
    <w:p>
      <w:pPr>
        <w:keepNext w:val="0"/>
        <w:keepLines w:val="0"/>
        <w:pageBreakBefore w:val="0"/>
        <w:kinsoku/>
        <w:wordWrap/>
        <w:overflowPunct/>
        <w:topLinePunct w:val="0"/>
        <w:autoSpaceDE/>
        <w:autoSpaceDN/>
        <w:bidi w:val="0"/>
        <w:adjustRightInd/>
        <w:snapToGrid/>
        <w:spacing w:line="620" w:lineRule="exact"/>
        <w:ind w:right="-378" w:rightChars="-180" w:firstLine="640" w:firstLineChars="200"/>
        <w:textAlignment w:val="auto"/>
        <w:rPr>
          <w:rFonts w:ascii="仿宋_GB2312" w:hAnsi="新宋体" w:eastAsia="仿宋_GB2312"/>
          <w:sz w:val="32"/>
          <w:szCs w:val="32"/>
        </w:rPr>
      </w:pPr>
      <w:r>
        <w:rPr>
          <w:rFonts w:hint="eastAsia" w:ascii="仿宋_GB2312" w:hAnsi="新宋体" w:eastAsia="仿宋_GB2312" w:cs="仿宋_GB2312"/>
          <w:sz w:val="32"/>
          <w:szCs w:val="32"/>
        </w:rPr>
        <w:t>（八）贯彻执行劳动、人事争议调解仲裁制度和劳动关系政策。负责辖区内劳动、人事争议案件的调解和仲裁；组织实施劳动监察，指导协调辖区劳动者维权工作，依法查处违法案件；协调解决农民工重点难点问题，维护农民工合法权益。</w:t>
      </w:r>
    </w:p>
    <w:p>
      <w:pPr>
        <w:keepNext w:val="0"/>
        <w:keepLines w:val="0"/>
        <w:pageBreakBefore w:val="0"/>
        <w:kinsoku/>
        <w:wordWrap/>
        <w:overflowPunct/>
        <w:topLinePunct w:val="0"/>
        <w:autoSpaceDE/>
        <w:autoSpaceDN/>
        <w:bidi w:val="0"/>
        <w:adjustRightInd/>
        <w:snapToGrid/>
        <w:spacing w:line="620" w:lineRule="exact"/>
        <w:ind w:right="-567" w:rightChars="-270" w:firstLine="640" w:firstLineChars="200"/>
        <w:textAlignment w:val="auto"/>
        <w:rPr>
          <w:rFonts w:ascii="仿宋_GB2312" w:hAnsi="新宋体" w:eastAsia="仿宋_GB2312"/>
          <w:sz w:val="32"/>
          <w:szCs w:val="32"/>
        </w:rPr>
      </w:pPr>
      <w:r>
        <w:rPr>
          <w:rFonts w:hint="eastAsia" w:ascii="仿宋_GB2312" w:hAnsi="新宋体" w:eastAsia="仿宋_GB2312" w:cs="仿宋_GB2312"/>
          <w:sz w:val="32"/>
          <w:szCs w:val="32"/>
        </w:rPr>
        <w:t>（九）贯彻执行转业干部安置政策，会同有关部门做好全区军队转业干部的接收安置工作；负责自主择业军队转业干部管理服务工作；按政策做好随军家属安置工作。</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新宋体" w:eastAsia="仿宋_GB2312" w:cs="仿宋_GB2312"/>
          <w:sz w:val="32"/>
          <w:szCs w:val="32"/>
        </w:rPr>
        <w:t>（十）承办区委、区政府和上级部门交办的其他事项。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bookmarkStart w:id="14" w:name="_Toc17796_WPSOffice_Level2"/>
      <w:bookmarkStart w:id="15" w:name="_Toc24474_WPSOffice_Level2"/>
      <w:bookmarkStart w:id="16" w:name="_Toc4833_WPSOffice_Level2"/>
      <w:bookmarkStart w:id="17" w:name="_Toc6572_WPSOffice_Level2"/>
      <w:bookmarkStart w:id="18" w:name="_Toc24059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keepNext w:val="0"/>
        <w:keepLines w:val="0"/>
        <w:pageBreakBefore w:val="0"/>
        <w:kinsoku/>
        <w:wordWrap/>
        <w:overflowPunct/>
        <w:topLinePunct w:val="0"/>
        <w:autoSpaceDE/>
        <w:autoSpaceDN/>
        <w:bidi w:val="0"/>
        <w:adjustRightInd/>
        <w:snapToGrid/>
        <w:spacing w:line="620" w:lineRule="exact"/>
        <w:ind w:right="-693" w:rightChars="-330" w:firstLine="640" w:firstLineChars="200"/>
        <w:textAlignment w:val="auto"/>
        <w:rPr>
          <w:rFonts w:hint="eastAsia" w:ascii="仿宋_GB2312" w:hAnsi="??" w:eastAsia="仿宋_GB2312"/>
          <w:sz w:val="32"/>
          <w:szCs w:val="32"/>
          <w:lang w:val="en-US" w:eastAsia="zh-CN"/>
        </w:rPr>
      </w:pPr>
      <w:r>
        <w:rPr>
          <w:rFonts w:hint="eastAsia" w:ascii="仿宋_GB2312" w:hAnsi="ˎ̥" w:eastAsia="仿宋_GB2312"/>
          <w:sz w:val="32"/>
          <w:szCs w:val="32"/>
        </w:rPr>
        <w:t>纳入</w:t>
      </w:r>
      <w:r>
        <w:rPr>
          <w:rFonts w:hint="eastAsia" w:ascii="仿宋_GB2312" w:hAnsi="??" w:eastAsia="仿宋_GB2312" w:cs="仿宋_GB2312"/>
          <w:sz w:val="32"/>
          <w:szCs w:val="32"/>
        </w:rPr>
        <w:t>海口市秀英区人力资源和社会保障局</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单位</w:t>
      </w:r>
      <w:r>
        <w:rPr>
          <w:rFonts w:hint="eastAsia" w:ascii="仿宋_GB2312" w:hAnsi="ˎ̥" w:eastAsia="仿宋_GB2312"/>
          <w:sz w:val="32"/>
          <w:szCs w:val="32"/>
        </w:rPr>
        <w:t>决算编制范围的二级预算单位：</w:t>
      </w:r>
      <w:r>
        <w:rPr>
          <w:rFonts w:hint="eastAsia" w:ascii="仿宋_GB2312" w:hAnsi="ˎ̥" w:eastAsia="仿宋_GB2312"/>
          <w:sz w:val="32"/>
          <w:szCs w:val="32"/>
          <w:lang w:val="en-US" w:eastAsia="zh-CN"/>
        </w:rPr>
        <w:t>无</w:t>
      </w:r>
    </w:p>
    <w:p>
      <w:pPr>
        <w:keepNext w:val="0"/>
        <w:keepLines w:val="0"/>
        <w:pageBreakBefore w:val="0"/>
        <w:numPr>
          <w:ilvl w:val="0"/>
          <w:numId w:val="3"/>
        </w:numPr>
        <w:kinsoku/>
        <w:wordWrap/>
        <w:overflowPunct/>
        <w:topLinePunct w:val="0"/>
        <w:autoSpaceDE/>
        <w:autoSpaceDN/>
        <w:bidi w:val="0"/>
        <w:adjustRightInd/>
        <w:snapToGrid/>
        <w:spacing w:line="620" w:lineRule="exact"/>
        <w:jc w:val="center"/>
        <w:textAlignment w:val="auto"/>
        <w:rPr>
          <w:rFonts w:hint="eastAsia" w:ascii="黑体" w:hAnsi="ˎ̥" w:eastAsia="黑体"/>
          <w:b w:val="0"/>
          <w:bCs w:val="0"/>
          <w:sz w:val="32"/>
          <w:szCs w:val="32"/>
        </w:rPr>
      </w:pPr>
      <w:r>
        <w:rPr>
          <w:rFonts w:hint="eastAsia" w:ascii="黑体" w:hAnsi="ˎ̥" w:eastAsia="黑体"/>
          <w:b w:val="0"/>
          <w:bCs w:val="0"/>
          <w:sz w:val="32"/>
          <w:szCs w:val="32"/>
          <w:lang w:val="en-US" w:eastAsia="zh-CN"/>
        </w:rPr>
        <w:t xml:space="preserve"> </w:t>
      </w:r>
      <w:r>
        <w:rPr>
          <w:rFonts w:hint="eastAsia" w:ascii="黑体" w:hAnsi="??" w:eastAsia="黑体" w:cs="黑体"/>
          <w:sz w:val="32"/>
          <w:szCs w:val="32"/>
        </w:rPr>
        <w:t>海口市秀英区人力资源和社会保障局</w:t>
      </w:r>
      <w:r>
        <w:rPr>
          <w:rFonts w:hint="eastAsia" w:ascii="黑体" w:hAnsi="??" w:eastAsia="黑体" w:cs="黑体"/>
          <w:sz w:val="32"/>
          <w:szCs w:val="32"/>
          <w:lang w:eastAsia="zh-CN"/>
        </w:rPr>
        <w:t>（</w:t>
      </w:r>
      <w:r>
        <w:rPr>
          <w:rFonts w:hint="eastAsia" w:ascii="黑体" w:hAnsi="??" w:eastAsia="黑体" w:cs="黑体"/>
          <w:sz w:val="32"/>
          <w:szCs w:val="32"/>
          <w:lang w:val="en-US" w:eastAsia="zh-CN"/>
        </w:rPr>
        <w:t>本级</w:t>
      </w:r>
      <w:r>
        <w:rPr>
          <w:rFonts w:hint="eastAsia" w:ascii="黑体" w:hAnsi="??" w:eastAsia="黑体" w:cs="黑体"/>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0" w:firstLineChars="0"/>
        <w:jc w:val="center"/>
        <w:textAlignment w:val="auto"/>
        <w:rPr>
          <w:rFonts w:hint="eastAsia" w:ascii="黑体" w:hAnsi="ˎ̥" w:eastAsia="黑体"/>
          <w:b w:val="0"/>
          <w:bCs w:val="0"/>
          <w:sz w:val="32"/>
          <w:szCs w:val="32"/>
        </w:rPr>
      </w:pP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0" w:firstLineChars="0"/>
        <w:jc w:val="center"/>
        <w:textAlignment w:val="auto"/>
        <w:rPr>
          <w:rFonts w:hint="eastAsia" w:ascii="黑体" w:hAnsi="ˎ̥" w:eastAsia="黑体"/>
          <w:b w:val="0"/>
          <w:bCs w:val="0"/>
          <w:sz w:val="32"/>
          <w:szCs w:val="32"/>
        </w:rPr>
      </w:pPr>
    </w:p>
    <w:p>
      <w:pPr>
        <w:keepNext w:val="0"/>
        <w:keepLines w:val="0"/>
        <w:pageBreakBefore w:val="0"/>
        <w:kinsoku/>
        <w:wordWrap/>
        <w:overflowPunct/>
        <w:topLinePunct w:val="0"/>
        <w:autoSpaceDE/>
        <w:autoSpaceDN/>
        <w:bidi w:val="0"/>
        <w:adjustRightInd/>
        <w:snapToGrid/>
        <w:spacing w:line="62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p>
    <w:p>
      <w:pPr>
        <w:keepNext w:val="0"/>
        <w:keepLines w:val="0"/>
        <w:pageBreakBefore w:val="0"/>
        <w:kinsoku/>
        <w:wordWrap/>
        <w:overflowPunct/>
        <w:topLinePunct w:val="0"/>
        <w:autoSpaceDE/>
        <w:autoSpaceDN/>
        <w:bidi w:val="0"/>
        <w:adjustRightInd/>
        <w:snapToGrid/>
        <w:spacing w:line="620" w:lineRule="exact"/>
        <w:ind w:firstLine="645"/>
        <w:textAlignment w:val="auto"/>
        <w:rPr>
          <w:rFonts w:hint="eastAsia" w:ascii="黑体" w:hAnsi="黑体" w:eastAsia="黑体" w:cs="黑体"/>
          <w:sz w:val="32"/>
          <w:szCs w:val="32"/>
          <w:lang w:eastAsia="zh-CN"/>
        </w:rPr>
      </w:pPr>
      <w:bookmarkStart w:id="19" w:name="_Toc26621_WPSOffice_Level2"/>
      <w:bookmarkStart w:id="20" w:name="_Toc23139_WPSOffice_Level2"/>
      <w:bookmarkStart w:id="21" w:name="_Toc25608_WPSOffice_Level2"/>
      <w:bookmarkStart w:id="22" w:name="_Toc30334_WPSOffice_Level2"/>
      <w:bookmarkStart w:id="23" w:name="_Toc14349_WPSOffice_Level2"/>
      <w:bookmarkStart w:id="24" w:name="_Toc28622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19"/>
      <w:bookmarkEnd w:id="20"/>
      <w:bookmarkEnd w:id="21"/>
      <w:r>
        <w:rPr>
          <w:rFonts w:hint="eastAsia" w:ascii="黑体" w:hAnsi="黑体" w:eastAsia="黑体" w:cs="黑体"/>
          <w:sz w:val="32"/>
          <w:szCs w:val="32"/>
          <w:lang w:eastAsia="zh-CN"/>
        </w:rPr>
        <w:t>。</w:t>
      </w:r>
      <w:bookmarkEnd w:id="22"/>
      <w:bookmarkEnd w:id="23"/>
      <w:bookmarkEnd w:id="24"/>
    </w:p>
    <w:p>
      <w:pPr>
        <w:keepNext w:val="0"/>
        <w:keepLines w:val="0"/>
        <w:pageBreakBefore w:val="0"/>
        <w:kinsoku/>
        <w:wordWrap/>
        <w:overflowPunct/>
        <w:topLinePunct w:val="0"/>
        <w:autoSpaceDE/>
        <w:autoSpaceDN/>
        <w:bidi w:val="0"/>
        <w:adjustRightInd/>
        <w:snapToGrid/>
        <w:spacing w:line="620" w:lineRule="exact"/>
        <w:ind w:firstLine="645"/>
        <w:textAlignment w:val="auto"/>
        <w:rPr>
          <w:rFonts w:hint="eastAsia" w:ascii="黑体" w:hAnsi="黑体" w:eastAsia="黑体" w:cs="黑体"/>
          <w:sz w:val="32"/>
          <w:szCs w:val="32"/>
          <w:lang w:eastAsia="zh-CN"/>
        </w:rPr>
      </w:pPr>
      <w:bookmarkStart w:id="25" w:name="_Toc3262_WPSOffice_Level2"/>
      <w:bookmarkStart w:id="26" w:name="_Toc17626_WPSOffice_Level2"/>
      <w:bookmarkStart w:id="27" w:name="_Toc17858_WPSOffice_Level2"/>
      <w:bookmarkStart w:id="28" w:name="_Toc14658_WPSOffice_Level2"/>
      <w:bookmarkStart w:id="29" w:name="_Toc5489_WPSOffice_Level2"/>
      <w:bookmarkStart w:id="30" w:name="_Toc13854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keepNext w:val="0"/>
        <w:keepLines w:val="0"/>
        <w:pageBreakBefore w:val="0"/>
        <w:kinsoku/>
        <w:wordWrap/>
        <w:overflowPunct/>
        <w:topLinePunct w:val="0"/>
        <w:autoSpaceDE/>
        <w:autoSpaceDN/>
        <w:bidi w:val="0"/>
        <w:adjustRightInd/>
        <w:snapToGrid/>
        <w:spacing w:line="620" w:lineRule="exact"/>
        <w:ind w:firstLine="645"/>
        <w:textAlignment w:val="auto"/>
        <w:rPr>
          <w:rFonts w:hint="eastAsia" w:ascii="黑体" w:hAnsi="黑体" w:eastAsia="黑体" w:cs="黑体"/>
          <w:sz w:val="32"/>
          <w:szCs w:val="32"/>
          <w:lang w:eastAsia="zh-CN"/>
        </w:rPr>
      </w:pPr>
      <w:bookmarkStart w:id="31" w:name="_Toc23591_WPSOffice_Level2"/>
      <w:bookmarkStart w:id="32" w:name="_Toc13701_WPSOffice_Level2"/>
      <w:bookmarkStart w:id="33" w:name="_Toc21415_WPSOffice_Level2"/>
      <w:bookmarkStart w:id="34" w:name="_Toc23493_WPSOffice_Level2"/>
      <w:bookmarkStart w:id="35" w:name="_Toc7988_WPSOffice_Level2"/>
      <w:bookmarkStart w:id="36" w:name="_Toc4265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keepNext w:val="0"/>
        <w:keepLines w:val="0"/>
        <w:pageBreakBefore w:val="0"/>
        <w:kinsoku/>
        <w:wordWrap/>
        <w:overflowPunct/>
        <w:topLinePunct w:val="0"/>
        <w:autoSpaceDE/>
        <w:autoSpaceDN/>
        <w:bidi w:val="0"/>
        <w:adjustRightInd/>
        <w:snapToGrid/>
        <w:spacing w:line="620" w:lineRule="exact"/>
        <w:ind w:firstLine="645"/>
        <w:textAlignment w:val="auto"/>
        <w:rPr>
          <w:rFonts w:hint="eastAsia" w:ascii="黑体" w:hAnsi="黑体" w:eastAsia="黑体" w:cs="黑体"/>
          <w:sz w:val="32"/>
          <w:szCs w:val="32"/>
          <w:lang w:eastAsia="zh-CN"/>
        </w:rPr>
      </w:pPr>
      <w:bookmarkStart w:id="37" w:name="_Toc22783_WPSOffice_Level2"/>
      <w:bookmarkStart w:id="38" w:name="_Toc7879_WPSOffice_Level2"/>
      <w:bookmarkStart w:id="39" w:name="_Toc23829_WPSOffice_Level2"/>
      <w:bookmarkStart w:id="40" w:name="_Toc25166_WPSOffice_Level2"/>
      <w:bookmarkStart w:id="41" w:name="_Toc2158_WPSOffice_Level2"/>
      <w:bookmarkStart w:id="42"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37"/>
      <w:bookmarkEnd w:id="38"/>
      <w:bookmarkEnd w:id="39"/>
      <w:bookmarkEnd w:id="40"/>
      <w:r>
        <w:rPr>
          <w:rFonts w:hint="eastAsia" w:ascii="黑体" w:hAnsi="黑体" w:eastAsia="黑体" w:cs="黑体"/>
          <w:sz w:val="32"/>
          <w:szCs w:val="32"/>
          <w:lang w:eastAsia="zh-CN"/>
        </w:rPr>
        <w:t>公开表</w:t>
      </w:r>
    </w:p>
    <w:p>
      <w:pPr>
        <w:keepNext w:val="0"/>
        <w:keepLines w:val="0"/>
        <w:pageBreakBefore w:val="0"/>
        <w:kinsoku/>
        <w:wordWrap/>
        <w:overflowPunct/>
        <w:topLinePunct w:val="0"/>
        <w:autoSpaceDE/>
        <w:autoSpaceDN/>
        <w:bidi w:val="0"/>
        <w:adjustRightInd/>
        <w:snapToGrid/>
        <w:spacing w:line="620" w:lineRule="exact"/>
        <w:ind w:firstLine="1302" w:firstLineChars="407"/>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41"/>
      <w:bookmarkEnd w:id="42"/>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5"/>
        <w:textAlignment w:val="auto"/>
        <w:rPr>
          <w:rFonts w:hint="eastAsia" w:ascii="黑体" w:hAnsi="黑体" w:eastAsia="黑体" w:cs="黑体"/>
          <w:sz w:val="32"/>
          <w:szCs w:val="32"/>
        </w:rPr>
      </w:pPr>
      <w:bookmarkStart w:id="43" w:name="_Toc17833_WPSOffice_Level2"/>
      <w:bookmarkStart w:id="44" w:name="_Toc17283_WPSOffice_Level2"/>
      <w:bookmarkStart w:id="45" w:name="_Toc2632_WPSOffice_Level2"/>
      <w:bookmarkStart w:id="46" w:name="_Toc8373_WPSOffice_Level2"/>
      <w:bookmarkStart w:id="47" w:name="_Toc5343_WPSOffice_Level2"/>
      <w:bookmarkStart w:id="48" w:name="_Toc25362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43"/>
      <w:bookmarkEnd w:id="44"/>
      <w:bookmarkEnd w:id="45"/>
      <w:bookmarkEnd w:id="46"/>
      <w:bookmarkEnd w:id="47"/>
      <w:bookmarkEnd w:id="48"/>
      <w:r>
        <w:rPr>
          <w:rFonts w:hint="eastAsia" w:ascii="黑体" w:hAnsi="黑体" w:eastAsia="黑体" w:cs="黑体"/>
          <w:sz w:val="32"/>
          <w:szCs w:val="32"/>
          <w:lang w:eastAsia="zh-CN"/>
        </w:rPr>
        <w:t>公开表</w:t>
      </w:r>
    </w:p>
    <w:p>
      <w:pPr>
        <w:keepNext w:val="0"/>
        <w:keepLines w:val="0"/>
        <w:pageBreakBefore w:val="0"/>
        <w:kinsoku/>
        <w:wordWrap/>
        <w:overflowPunct/>
        <w:topLinePunct w:val="0"/>
        <w:autoSpaceDE/>
        <w:autoSpaceDN/>
        <w:bidi w:val="0"/>
        <w:adjustRightInd/>
        <w:snapToGrid/>
        <w:spacing w:line="620" w:lineRule="exact"/>
        <w:ind w:firstLine="1280" w:firstLineChars="4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keepNext w:val="0"/>
        <w:keepLines w:val="0"/>
        <w:pageBreakBefore w:val="0"/>
        <w:kinsoku/>
        <w:wordWrap/>
        <w:overflowPunct/>
        <w:topLinePunct w:val="0"/>
        <w:autoSpaceDE/>
        <w:autoSpaceDN/>
        <w:bidi w:val="0"/>
        <w:adjustRightInd/>
        <w:snapToGrid/>
        <w:spacing w:line="620" w:lineRule="exact"/>
        <w:ind w:left="1118" w:leftChars="304" w:hanging="480" w:hangingChars="150"/>
        <w:textAlignment w:val="auto"/>
        <w:rPr>
          <w:rFonts w:hint="eastAsia" w:ascii="黑体" w:hAnsi="黑体" w:eastAsia="黑体" w:cs="黑体"/>
          <w:sz w:val="32"/>
          <w:szCs w:val="32"/>
        </w:rPr>
      </w:pPr>
      <w:bookmarkStart w:id="49" w:name="_Toc6020_WPSOffice_Level2"/>
      <w:bookmarkStart w:id="50" w:name="_Toc5594_WPSOffice_Level2"/>
      <w:bookmarkStart w:id="51" w:name="_Toc21310_WPSOffice_Level2"/>
      <w:bookmarkStart w:id="52" w:name="_Toc1533_WPSOffice_Level2"/>
      <w:bookmarkStart w:id="53" w:name="_Toc11799_WPSOffice_Level2"/>
      <w:bookmarkStart w:id="54" w:name="_Toc13345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49"/>
      <w:bookmarkEnd w:id="50"/>
      <w:bookmarkEnd w:id="51"/>
      <w:bookmarkEnd w:id="52"/>
      <w:bookmarkEnd w:id="53"/>
      <w:bookmarkEnd w:id="54"/>
      <w:r>
        <w:rPr>
          <w:rFonts w:hint="eastAsia" w:ascii="黑体" w:hAnsi="黑体" w:eastAsia="黑体" w:cs="黑体"/>
          <w:sz w:val="32"/>
          <w:szCs w:val="32"/>
          <w:lang w:eastAsia="zh-CN"/>
        </w:rPr>
        <w:t>公开表</w:t>
      </w:r>
    </w:p>
    <w:p>
      <w:pPr>
        <w:keepNext w:val="0"/>
        <w:keepLines w:val="0"/>
        <w:pageBreakBefore w:val="0"/>
        <w:kinsoku/>
        <w:wordWrap/>
        <w:overflowPunct/>
        <w:topLinePunct w:val="0"/>
        <w:autoSpaceDE/>
        <w:autoSpaceDN/>
        <w:bidi w:val="0"/>
        <w:adjustRightInd/>
        <w:snapToGrid/>
        <w:spacing w:line="620" w:lineRule="exact"/>
        <w:ind w:left="1277" w:leftChars="608" w:firstLine="160" w:firstLineChars="5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keepNext w:val="0"/>
        <w:keepLines w:val="0"/>
        <w:pageBreakBefore w:val="0"/>
        <w:kinsoku/>
        <w:wordWrap/>
        <w:overflowPunct/>
        <w:topLinePunct w:val="0"/>
        <w:autoSpaceDE/>
        <w:autoSpaceDN/>
        <w:bidi w:val="0"/>
        <w:adjustRightInd/>
        <w:snapToGrid/>
        <w:spacing w:line="620" w:lineRule="exact"/>
        <w:ind w:left="1118" w:leftChars="304" w:hanging="480" w:hangingChars="15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keepNext w:val="0"/>
        <w:keepLines w:val="0"/>
        <w:pageBreakBefore w:val="0"/>
        <w:kinsoku/>
        <w:wordWrap/>
        <w:overflowPunct/>
        <w:topLinePunct w:val="0"/>
        <w:autoSpaceDE/>
        <w:autoSpaceDN/>
        <w:bidi w:val="0"/>
        <w:adjustRightInd/>
        <w:snapToGrid/>
        <w:spacing w:line="620" w:lineRule="exact"/>
        <w:ind w:left="1277" w:leftChars="608" w:firstLine="160" w:firstLineChars="5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keepNext w:val="0"/>
        <w:keepLines w:val="0"/>
        <w:pageBreakBefore w:val="0"/>
        <w:numPr>
          <w:ilvl w:val="0"/>
          <w:numId w:val="0"/>
        </w:numPr>
        <w:kinsoku/>
        <w:wordWrap/>
        <w:overflowPunct/>
        <w:topLinePunct w:val="0"/>
        <w:autoSpaceDE/>
        <w:autoSpaceDN/>
        <w:bidi w:val="0"/>
        <w:adjustRightInd/>
        <w:snapToGrid/>
        <w:spacing w:line="620" w:lineRule="exact"/>
        <w:textAlignment w:val="auto"/>
        <w:rPr>
          <w:rFonts w:hint="eastAsia" w:ascii="黑体" w:hAnsi="黑体" w:eastAsia="黑体" w:cs="黑体"/>
          <w:sz w:val="32"/>
          <w:szCs w:val="32"/>
        </w:rPr>
      </w:pPr>
      <w:bookmarkStart w:id="55" w:name="_Toc29886_WPSOffice_Level2"/>
      <w:bookmarkStart w:id="56" w:name="_Toc1820_WPSOffice_Level2"/>
      <w:bookmarkStart w:id="57" w:name="_Toc9377_WPSOffice_Level2"/>
      <w:bookmarkStart w:id="58" w:name="_Toc19961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55"/>
      <w:bookmarkEnd w:id="56"/>
      <w:bookmarkEnd w:id="57"/>
      <w:bookmarkEnd w:id="58"/>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keepNext w:val="0"/>
        <w:keepLines w:val="0"/>
        <w:pageBreakBefore w:val="0"/>
        <w:numPr>
          <w:ilvl w:val="0"/>
          <w:numId w:val="0"/>
        </w:numPr>
        <w:kinsoku/>
        <w:wordWrap/>
        <w:overflowPunct/>
        <w:topLinePunct w:val="0"/>
        <w:autoSpaceDE/>
        <w:autoSpaceDN/>
        <w:bidi w:val="0"/>
        <w:adjustRightInd/>
        <w:snapToGrid/>
        <w:spacing w:line="620" w:lineRule="exact"/>
        <w:textAlignment w:val="auto"/>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0" w:firstLineChars="0"/>
        <w:textAlignment w:val="auto"/>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keepNext w:val="0"/>
        <w:keepLines w:val="0"/>
        <w:pageBreakBefore w:val="0"/>
        <w:numPr>
          <w:ilvl w:val="0"/>
          <w:numId w:val="0"/>
        </w:numPr>
        <w:kinsoku/>
        <w:wordWrap/>
        <w:overflowPunct/>
        <w:topLinePunct w:val="0"/>
        <w:autoSpaceDE/>
        <w:autoSpaceDN/>
        <w:bidi w:val="0"/>
        <w:adjustRightInd/>
        <w:snapToGrid/>
        <w:spacing w:line="620" w:lineRule="exact"/>
        <w:textAlignment w:val="auto"/>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0" w:firstLineChars="0"/>
        <w:textAlignment w:val="auto"/>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0" w:firstLineChars="0"/>
        <w:textAlignment w:val="auto"/>
        <w:rPr>
          <w:rFonts w:hint="eastAsia" w:ascii="黑体" w:hAnsi="黑体" w:eastAsia="黑体" w:cs="黑体"/>
          <w:sz w:val="32"/>
          <w:szCs w:val="32"/>
          <w:lang w:eastAsia="zh-CN"/>
        </w:rPr>
      </w:pPr>
    </w:p>
    <w:p>
      <w:pPr>
        <w:keepNext w:val="0"/>
        <w:keepLines w:val="0"/>
        <w:pageBreakBefore w:val="0"/>
        <w:numPr>
          <w:ilvl w:val="0"/>
          <w:numId w:val="3"/>
        </w:numPr>
        <w:kinsoku/>
        <w:wordWrap/>
        <w:overflowPunct/>
        <w:topLinePunct w:val="0"/>
        <w:autoSpaceDE/>
        <w:autoSpaceDN/>
        <w:bidi w:val="0"/>
        <w:adjustRightInd/>
        <w:snapToGrid/>
        <w:spacing w:line="620" w:lineRule="exact"/>
        <w:jc w:val="center"/>
        <w:textAlignment w:val="auto"/>
        <w:rPr>
          <w:rFonts w:hint="eastAsia" w:ascii="黑体" w:hAnsi="ˎ̥" w:eastAsia="黑体"/>
          <w:b w:val="0"/>
          <w:bCs w:val="0"/>
          <w:sz w:val="32"/>
          <w:szCs w:val="32"/>
          <w:lang w:val="en-US" w:eastAsia="zh-CN"/>
        </w:rPr>
      </w:pPr>
      <w:r>
        <w:rPr>
          <w:rFonts w:hint="eastAsia" w:ascii="黑体" w:hAnsi="??" w:eastAsia="黑体" w:cs="黑体"/>
          <w:sz w:val="32"/>
          <w:szCs w:val="32"/>
        </w:rPr>
        <w:t>海口市秀英区人力资源和社会保障局</w:t>
      </w:r>
      <w:r>
        <w:rPr>
          <w:rFonts w:hint="eastAsia" w:ascii="黑体" w:hAnsi="ˎ̥" w:eastAsia="黑体"/>
          <w:b w:val="0"/>
          <w:bCs w:val="0"/>
          <w:sz w:val="32"/>
          <w:szCs w:val="32"/>
          <w:lang w:val="en-US" w:eastAsia="zh-CN"/>
        </w:rPr>
        <w:t>（本级）</w:t>
      </w:r>
    </w:p>
    <w:p>
      <w:pPr>
        <w:keepNext w:val="0"/>
        <w:keepLines w:val="0"/>
        <w:pageBreakBefore w:val="0"/>
        <w:numPr>
          <w:ilvl w:val="0"/>
          <w:numId w:val="0"/>
        </w:numPr>
        <w:kinsoku/>
        <w:wordWrap/>
        <w:overflowPunct/>
        <w:topLinePunct w:val="0"/>
        <w:autoSpaceDE/>
        <w:autoSpaceDN/>
        <w:bidi w:val="0"/>
        <w:adjustRightInd/>
        <w:snapToGrid/>
        <w:spacing w:line="620" w:lineRule="exact"/>
        <w:jc w:val="center"/>
        <w:textAlignment w:val="auto"/>
        <w:rPr>
          <w:rFonts w:hint="eastAsia" w:ascii="黑体" w:hAnsi="ˎ̥" w:eastAsia="黑体"/>
          <w:b w:val="0"/>
          <w:bCs w:val="0"/>
          <w:sz w:val="32"/>
          <w:szCs w:val="32"/>
        </w:rPr>
      </w:pP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决算情况说明</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ˎ̥" w:eastAsia="黑体"/>
          <w:sz w:val="32"/>
          <w:szCs w:val="32"/>
        </w:rPr>
      </w:pP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收入总计2378.22</w:t>
      </w:r>
      <w:r>
        <w:rPr>
          <w:rFonts w:hint="eastAsia" w:ascii="仿宋_GB2312" w:hAnsi="ˎ̥" w:eastAsia="仿宋_GB2312"/>
          <w:sz w:val="32"/>
          <w:szCs w:val="32"/>
        </w:rPr>
        <w:t>万元，</w:t>
      </w:r>
      <w:r>
        <w:rPr>
          <w:rFonts w:hint="eastAsia" w:ascii="仿宋_GB2312" w:hAnsi="ˎ̥" w:eastAsia="仿宋_GB2312"/>
          <w:sz w:val="32"/>
          <w:szCs w:val="32"/>
          <w:lang w:eastAsia="zh-CN"/>
        </w:rPr>
        <w:t>支出总计</w:t>
      </w:r>
      <w:r>
        <w:rPr>
          <w:rFonts w:hint="eastAsia" w:ascii="仿宋_GB2312" w:hAnsi="ˎ̥" w:eastAsia="仿宋_GB2312"/>
          <w:sz w:val="32"/>
          <w:szCs w:val="32"/>
          <w:lang w:val="en-US" w:eastAsia="zh-CN"/>
        </w:rPr>
        <w:t>2378.22</w:t>
      </w:r>
      <w:r>
        <w:rPr>
          <w:rFonts w:hint="eastAsia" w:ascii="仿宋_GB2312" w:hAnsi="ˎ̥" w:eastAsia="仿宋_GB2312"/>
          <w:sz w:val="32"/>
          <w:szCs w:val="32"/>
          <w:lang w:eastAsia="zh-CN"/>
        </w:rPr>
        <w:t>万元，</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1322.92</w:t>
      </w:r>
      <w:r>
        <w:rPr>
          <w:rFonts w:hint="eastAsia" w:ascii="仿宋_GB2312" w:hAnsi="ˎ̥" w:eastAsia="仿宋_GB2312"/>
          <w:sz w:val="32"/>
          <w:szCs w:val="32"/>
        </w:rPr>
        <w:t>万元，下降</w:t>
      </w:r>
      <w:r>
        <w:rPr>
          <w:rFonts w:hint="eastAsia" w:ascii="仿宋_GB2312" w:hAnsi="ˎ̥" w:eastAsia="仿宋_GB2312"/>
          <w:sz w:val="32"/>
          <w:szCs w:val="32"/>
          <w:lang w:val="en-US" w:eastAsia="zh-CN"/>
        </w:rPr>
        <w:t>35.74</w:t>
      </w:r>
      <w:r>
        <w:rPr>
          <w:rFonts w:hint="eastAsia" w:ascii="仿宋_GB2312" w:hAnsi="ˎ̥" w:eastAsia="仿宋_GB2312"/>
          <w:sz w:val="32"/>
          <w:szCs w:val="32"/>
        </w:rPr>
        <w:t>%。主要原因：一是社会保障和就业支出</w:t>
      </w:r>
      <w:r>
        <w:rPr>
          <w:rFonts w:hint="eastAsia" w:ascii="仿宋_GB2312" w:hAnsi="ˎ̥" w:eastAsia="仿宋_GB2312"/>
          <w:sz w:val="32"/>
          <w:szCs w:val="32"/>
          <w:lang w:val="en-US" w:eastAsia="zh-CN"/>
        </w:rPr>
        <w:t>减少</w:t>
      </w:r>
      <w:r>
        <w:rPr>
          <w:rFonts w:hint="eastAsia" w:ascii="仿宋_GB2312" w:hAnsi="ˎ̥" w:eastAsia="仿宋_GB2312"/>
          <w:sz w:val="32"/>
          <w:szCs w:val="32"/>
        </w:rPr>
        <w:t>；二是</w:t>
      </w:r>
      <w:r>
        <w:rPr>
          <w:rFonts w:hint="eastAsia" w:ascii="仿宋_GB2312" w:hAnsi="ˎ̥" w:eastAsia="仿宋_GB2312"/>
          <w:sz w:val="32"/>
          <w:szCs w:val="32"/>
          <w:lang w:val="en-US" w:eastAsia="zh-CN"/>
        </w:rPr>
        <w:t>节能环保支出减少</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2020年度决算数减少0</w:t>
      </w:r>
      <w:r>
        <w:rPr>
          <w:rFonts w:hint="eastAsia" w:ascii="仿宋_GB2312" w:hAnsi="ˎ̥" w:eastAsia="仿宋_GB2312"/>
          <w:sz w:val="32"/>
          <w:szCs w:val="32"/>
        </w:rPr>
        <w:t>万元</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去年和今年没有使用非财政拨款结余</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1061.11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主要是基本支出和项目支出结转和结余，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2020年度决算数减少298.68</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21.97</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年初结转结余数减少</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2020年度决算数增加0</w:t>
      </w:r>
      <w:r>
        <w:rPr>
          <w:rFonts w:hint="eastAsia" w:ascii="仿宋_GB2312" w:hAnsi="ˎ̥" w:eastAsia="仿宋_GB2312"/>
          <w:sz w:val="32"/>
          <w:szCs w:val="32"/>
        </w:rPr>
        <w:t>万元</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去年与今年都没有结余分配</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962.35</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rPr>
        <w:t>基本支出和项目支出结转和结余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2020年度决算数减少263.07</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21.47</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rPr>
        <w:t>年末结转和结余</w:t>
      </w:r>
      <w:r>
        <w:rPr>
          <w:rFonts w:hint="eastAsia" w:ascii="仿宋_GB2312" w:hAnsi="ˎ̥" w:eastAsia="仿宋_GB2312"/>
          <w:sz w:val="32"/>
          <w:szCs w:val="32"/>
          <w:lang w:val="en-US" w:eastAsia="zh-CN"/>
        </w:rPr>
        <w:t>减少</w:t>
      </w:r>
      <w:r>
        <w:rPr>
          <w:rFonts w:hint="eastAsia" w:ascii="仿宋_GB2312" w:hAnsi="ˎ̥"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20" w:lineRule="exact"/>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（2021年度相关决算数据，可取自附件财决公开01表；2020年度相关决算数据可取自2020年度部门决算报表财决01表《收入支出决算总表》。）</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1317.11</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804.86</w:t>
      </w:r>
      <w:r>
        <w:rPr>
          <w:rFonts w:hint="eastAsia" w:ascii="仿宋_GB2312" w:hAnsi="ˎ̥" w:eastAsia="仿宋_GB2312"/>
          <w:sz w:val="32"/>
          <w:szCs w:val="32"/>
        </w:rPr>
        <w:t>万元，占</w:t>
      </w:r>
      <w:r>
        <w:rPr>
          <w:rFonts w:hint="eastAsia" w:ascii="仿宋_GB2312" w:hAnsi="ˎ̥" w:eastAsia="仿宋_GB2312"/>
          <w:sz w:val="32"/>
          <w:szCs w:val="32"/>
          <w:lang w:val="en-US" w:eastAsia="zh-CN"/>
        </w:rPr>
        <w:t>61.11</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512.26</w:t>
      </w:r>
      <w:r>
        <w:rPr>
          <w:rFonts w:hint="eastAsia" w:ascii="仿宋_GB2312" w:hAnsi="ˎ̥" w:eastAsia="仿宋_GB2312"/>
          <w:sz w:val="32"/>
          <w:szCs w:val="32"/>
        </w:rPr>
        <w:t>万元，占</w:t>
      </w:r>
      <w:r>
        <w:rPr>
          <w:rFonts w:hint="eastAsia" w:ascii="仿宋_GB2312" w:hAnsi="ˎ̥" w:eastAsia="仿宋_GB2312"/>
          <w:sz w:val="32"/>
          <w:szCs w:val="32"/>
          <w:lang w:val="en-US" w:eastAsia="zh-CN"/>
        </w:rPr>
        <w:t>38.89</w:t>
      </w:r>
      <w:r>
        <w:rPr>
          <w:rFonts w:hint="eastAsia" w:ascii="仿宋_GB2312" w:hAnsi="ˎ̥"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620" w:lineRule="exact"/>
        <w:ind w:leftChars="196"/>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（上述各项收入数字可取自财决公开02表）</w:t>
      </w:r>
    </w:p>
    <w:p>
      <w:pPr>
        <w:keepNext w:val="0"/>
        <w:keepLines w:val="0"/>
        <w:pageBreakBefore w:val="0"/>
        <w:kinsoku/>
        <w:wordWrap/>
        <w:overflowPunct/>
        <w:topLinePunct w:val="0"/>
        <w:autoSpaceDE/>
        <w:autoSpaceDN/>
        <w:bidi w:val="0"/>
        <w:adjustRightInd/>
        <w:snapToGrid/>
        <w:spacing w:line="620" w:lineRule="exact"/>
        <w:ind w:firstLine="627" w:firstLineChars="196"/>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1415.88</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175.24</w:t>
      </w:r>
      <w:r>
        <w:rPr>
          <w:rFonts w:hint="eastAsia" w:ascii="仿宋_GB2312" w:hAnsi="ˎ̥" w:eastAsia="仿宋_GB2312"/>
          <w:sz w:val="32"/>
          <w:szCs w:val="32"/>
        </w:rPr>
        <w:t>万元，占</w:t>
      </w:r>
      <w:r>
        <w:rPr>
          <w:rFonts w:hint="eastAsia" w:ascii="仿宋_GB2312" w:hAnsi="ˎ̥" w:eastAsia="仿宋_GB2312"/>
          <w:sz w:val="32"/>
          <w:szCs w:val="32"/>
          <w:lang w:val="en-US" w:eastAsia="zh-CN"/>
        </w:rPr>
        <w:t>12.38</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1240.64</w:t>
      </w:r>
      <w:r>
        <w:rPr>
          <w:rFonts w:hint="eastAsia" w:ascii="仿宋_GB2312" w:hAnsi="ˎ̥" w:eastAsia="仿宋_GB2312"/>
          <w:sz w:val="32"/>
          <w:szCs w:val="32"/>
        </w:rPr>
        <w:t>万元，占</w:t>
      </w:r>
      <w:r>
        <w:rPr>
          <w:rFonts w:hint="eastAsia" w:ascii="仿宋_GB2312" w:hAnsi="ˎ̥" w:eastAsia="仿宋_GB2312"/>
          <w:sz w:val="32"/>
          <w:szCs w:val="32"/>
          <w:lang w:val="en-US" w:eastAsia="zh-CN"/>
        </w:rPr>
        <w:t>87.62</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（上述各项支出数字可取自财决公开03表）</w:t>
      </w:r>
    </w:p>
    <w:p>
      <w:pPr>
        <w:keepNext w:val="0"/>
        <w:keepLines w:val="0"/>
        <w:pageBreakBefore w:val="0"/>
        <w:kinsoku/>
        <w:wordWrap/>
        <w:overflowPunct/>
        <w:topLinePunct w:val="0"/>
        <w:autoSpaceDE/>
        <w:autoSpaceDN/>
        <w:bidi w:val="0"/>
        <w:adjustRightInd/>
        <w:snapToGrid/>
        <w:spacing w:line="620" w:lineRule="exact"/>
        <w:ind w:firstLine="627" w:firstLineChars="196"/>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val="en-US" w:eastAsia="zh-CN"/>
        </w:rPr>
        <w:t>1717.02</w:t>
      </w:r>
      <w:r>
        <w:rPr>
          <w:rFonts w:hint="eastAsia" w:ascii="仿宋_GB2312" w:hAnsi="ˎ̥" w:eastAsia="仿宋_GB2312"/>
          <w:sz w:val="32"/>
          <w:szCs w:val="32"/>
          <w:lang w:eastAsia="zh-CN"/>
        </w:rPr>
        <w:t>万元，</w:t>
      </w:r>
      <w:r>
        <w:rPr>
          <w:rFonts w:hint="eastAsia" w:ascii="仿宋_GB2312" w:hAnsi="ˎ̥" w:eastAsia="仿宋_GB2312"/>
          <w:sz w:val="32"/>
          <w:szCs w:val="32"/>
          <w:lang w:val="en-US" w:eastAsia="zh-CN"/>
        </w:rPr>
        <w:t>支出总计1717.02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1528.28</w:t>
      </w:r>
      <w:r>
        <w:rPr>
          <w:rFonts w:hint="eastAsia" w:ascii="仿宋_GB2312" w:hAnsi="ˎ̥" w:eastAsia="仿宋_GB2312"/>
          <w:sz w:val="32"/>
          <w:szCs w:val="32"/>
        </w:rPr>
        <w:t>万元，下降</w:t>
      </w:r>
      <w:r>
        <w:rPr>
          <w:rFonts w:hint="eastAsia" w:ascii="仿宋_GB2312" w:hAnsi="ˎ̥" w:eastAsia="仿宋_GB2312"/>
          <w:sz w:val="32"/>
          <w:szCs w:val="32"/>
          <w:lang w:val="en-US" w:eastAsia="zh-CN"/>
        </w:rPr>
        <w:t>47.09</w:t>
      </w:r>
      <w:r>
        <w:rPr>
          <w:rFonts w:hint="eastAsia" w:ascii="仿宋_GB2312" w:hAnsi="ˎ̥" w:eastAsia="仿宋_GB2312"/>
          <w:sz w:val="32"/>
          <w:szCs w:val="32"/>
        </w:rPr>
        <w:t>%。主要原因：一是社会保障和就业支出</w:t>
      </w:r>
      <w:r>
        <w:rPr>
          <w:rFonts w:hint="eastAsia" w:ascii="仿宋_GB2312" w:hAnsi="ˎ̥" w:eastAsia="仿宋_GB2312"/>
          <w:sz w:val="32"/>
          <w:szCs w:val="32"/>
          <w:lang w:val="en-US" w:eastAsia="zh-CN"/>
        </w:rPr>
        <w:t>减少</w:t>
      </w:r>
      <w:r>
        <w:rPr>
          <w:rFonts w:hint="eastAsia" w:ascii="仿宋_GB2312" w:hAnsi="ˎ̥" w:eastAsia="仿宋_GB2312"/>
          <w:sz w:val="32"/>
          <w:szCs w:val="32"/>
        </w:rPr>
        <w:t>；</w:t>
      </w:r>
      <w:r>
        <w:rPr>
          <w:rFonts w:hint="eastAsia" w:ascii="仿宋_GB2312" w:hAnsi="ˎ̥" w:eastAsia="仿宋_GB2312"/>
          <w:sz w:val="32"/>
          <w:szCs w:val="32"/>
          <w:lang w:val="en-US" w:eastAsia="zh-CN"/>
        </w:rPr>
        <w:t>二是节能环保支出减少；三是住房保障支出减少</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912.16</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rPr>
        <w:t>基本支出和项目支出结转和结余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2020年度决算数减少444.49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32.76</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rPr>
        <w:t>年初结转结余</w:t>
      </w:r>
      <w:r>
        <w:rPr>
          <w:rFonts w:hint="eastAsia" w:ascii="仿宋_GB2312" w:hAnsi="ˎ̥" w:eastAsia="仿宋_GB2312"/>
          <w:sz w:val="32"/>
          <w:szCs w:val="32"/>
          <w:lang w:val="en-US" w:eastAsia="zh-CN"/>
        </w:rPr>
        <w:t>减少</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912.16</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rPr>
        <w:t>基本支出和项目支出结转和结余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2020年度年末决算数减少16.3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1.76</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rPr>
        <w:t>年末结转和结余</w:t>
      </w:r>
      <w:r>
        <w:rPr>
          <w:rFonts w:hint="eastAsia" w:ascii="仿宋_GB2312" w:hAnsi="ˎ̥" w:eastAsia="仿宋_GB2312"/>
          <w:sz w:val="32"/>
          <w:szCs w:val="32"/>
          <w:lang w:val="en-US" w:eastAsia="zh-CN"/>
        </w:rPr>
        <w:t>减少</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年度决算相关数据取自财决公开</w:t>
      </w:r>
      <w:r>
        <w:rPr>
          <w:rFonts w:hint="eastAsia" w:ascii="仿宋_GB2312" w:hAnsi="ˎ̥" w:eastAsia="仿宋_GB2312"/>
          <w:sz w:val="32"/>
          <w:szCs w:val="32"/>
          <w:lang w:val="en-US" w:eastAsia="zh-CN"/>
        </w:rPr>
        <w:t>04表。2020年度决算相关数据可取自2020年度部门决算报表财决01-1表《财政拨款收入支出决算总表》。</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27" w:firstLineChars="196"/>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sz w:val="32"/>
          <w:szCs w:val="32"/>
          <w:lang w:eastAsia="zh-CN"/>
        </w:rPr>
      </w:pPr>
      <w:bookmarkStart w:id="59" w:name="_Toc17398_WPSOffice_Level2"/>
      <w:bookmarkStart w:id="60" w:name="_Toc13694_WPSOffice_Level2"/>
      <w:bookmarkStart w:id="61" w:name="_Toc21737_WPSOffice_Level2"/>
      <w:bookmarkStart w:id="62" w:name="_Toc23005_WPSOffice_Level2"/>
      <w:bookmarkStart w:id="63" w:name="_Toc9989_WPSOffice_Level2"/>
      <w:bookmarkStart w:id="64" w:name="_Toc19665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59"/>
      <w:bookmarkEnd w:id="60"/>
      <w:r>
        <w:rPr>
          <w:rFonts w:hint="eastAsia" w:ascii="楷体" w:hAnsi="楷体" w:eastAsia="楷体" w:cs="楷体"/>
          <w:sz w:val="32"/>
          <w:szCs w:val="32"/>
          <w:lang w:eastAsia="zh-CN"/>
        </w:rPr>
        <w:t>。</w:t>
      </w:r>
      <w:bookmarkEnd w:id="61"/>
      <w:bookmarkEnd w:id="62"/>
      <w:bookmarkEnd w:id="63"/>
      <w:bookmarkEnd w:id="64"/>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804.86</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46.88</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财政拨款支出减少</w:t>
      </w:r>
      <w:r>
        <w:rPr>
          <w:rFonts w:hint="eastAsia" w:ascii="仿宋_GB2312" w:hAnsi="ˎ̥" w:eastAsia="仿宋_GB2312"/>
          <w:sz w:val="32"/>
          <w:szCs w:val="32"/>
          <w:lang w:val="en-US" w:eastAsia="zh-CN"/>
        </w:rPr>
        <w:t>1511.97</w:t>
      </w:r>
      <w:r>
        <w:rPr>
          <w:rFonts w:hint="eastAsia" w:ascii="仿宋_GB2312" w:hAnsi="ˎ̥" w:eastAsia="仿宋_GB2312"/>
          <w:sz w:val="32"/>
          <w:szCs w:val="32"/>
        </w:rPr>
        <w:t>万元，下降</w:t>
      </w:r>
      <w:r>
        <w:rPr>
          <w:rFonts w:hint="eastAsia" w:ascii="仿宋_GB2312" w:hAnsi="ˎ̥" w:eastAsia="仿宋_GB2312"/>
          <w:sz w:val="32"/>
          <w:szCs w:val="32"/>
          <w:lang w:val="en-US" w:eastAsia="zh-CN"/>
        </w:rPr>
        <w:t>65.26</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rPr>
        <w:t>一般公共服务支出和</w:t>
      </w:r>
      <w:r>
        <w:rPr>
          <w:rFonts w:hint="eastAsia" w:ascii="仿宋_GB2312" w:hAnsi="ˎ̥" w:eastAsia="仿宋_GB2312"/>
          <w:sz w:val="32"/>
          <w:szCs w:val="32"/>
          <w:lang w:val="en-US" w:eastAsia="zh-CN"/>
        </w:rPr>
        <w:t>节能环保项目</w:t>
      </w:r>
      <w:r>
        <w:rPr>
          <w:rFonts w:hint="eastAsia" w:ascii="仿宋_GB2312" w:hAnsi="ˎ̥" w:eastAsia="仿宋_GB2312"/>
          <w:sz w:val="32"/>
          <w:szCs w:val="32"/>
        </w:rPr>
        <w:t>支出</w:t>
      </w:r>
      <w:r>
        <w:rPr>
          <w:rFonts w:hint="eastAsia" w:ascii="仿宋_GB2312" w:hAnsi="ˎ̥" w:eastAsia="仿宋_GB2312"/>
          <w:sz w:val="32"/>
          <w:szCs w:val="32"/>
          <w:lang w:val="en-US" w:eastAsia="zh-CN"/>
        </w:rPr>
        <w:t>减少</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sz w:val="32"/>
          <w:szCs w:val="32"/>
          <w:lang w:eastAsia="zh-CN"/>
        </w:rPr>
      </w:pPr>
      <w:bookmarkStart w:id="65" w:name="_Toc2711_WPSOffice_Level2"/>
      <w:bookmarkStart w:id="66" w:name="_Toc18793_WPSOffice_Level2"/>
      <w:bookmarkStart w:id="67" w:name="_Toc23864_WPSOffice_Level2"/>
      <w:bookmarkStart w:id="68" w:name="_Toc27767_WPSOffice_Level2"/>
      <w:bookmarkStart w:id="69" w:name="_Toc19075_WPSOffice_Level2"/>
      <w:bookmarkStart w:id="70" w:name="_Toc19535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65"/>
      <w:bookmarkEnd w:id="66"/>
      <w:r>
        <w:rPr>
          <w:rFonts w:hint="eastAsia" w:ascii="楷体" w:hAnsi="楷体" w:eastAsia="楷体" w:cs="楷体"/>
          <w:sz w:val="32"/>
          <w:szCs w:val="32"/>
          <w:lang w:eastAsia="zh-CN"/>
        </w:rPr>
        <w:t>。</w:t>
      </w:r>
      <w:bookmarkEnd w:id="67"/>
      <w:bookmarkEnd w:id="68"/>
      <w:bookmarkEnd w:id="69"/>
      <w:bookmarkEnd w:id="70"/>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804.86</w:t>
      </w:r>
      <w:r>
        <w:rPr>
          <w:rFonts w:hint="eastAsia" w:ascii="仿宋_GB2312" w:hAnsi="ˎ̥" w:eastAsia="仿宋_GB2312"/>
          <w:sz w:val="32"/>
          <w:szCs w:val="32"/>
        </w:rPr>
        <w:t>万元，主要用于以下方面：</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775.45</w:t>
      </w:r>
      <w:r>
        <w:rPr>
          <w:rFonts w:hint="eastAsia" w:ascii="仿宋_GB2312" w:hAnsi="ˎ̥" w:eastAsia="仿宋_GB2312"/>
          <w:sz w:val="32"/>
          <w:szCs w:val="32"/>
        </w:rPr>
        <w:t>万元，占</w:t>
      </w:r>
      <w:r>
        <w:rPr>
          <w:rFonts w:hint="eastAsia" w:ascii="仿宋_GB2312" w:hAnsi="ˎ̥" w:eastAsia="仿宋_GB2312"/>
          <w:sz w:val="32"/>
          <w:szCs w:val="32"/>
          <w:lang w:val="en-US" w:eastAsia="zh-CN"/>
        </w:rPr>
        <w:t>96.35</w:t>
      </w:r>
      <w:r>
        <w:rPr>
          <w:rFonts w:hint="eastAsia" w:ascii="仿宋_GB2312" w:hAnsi="ˎ̥" w:eastAsia="仿宋_GB2312"/>
          <w:sz w:val="32"/>
          <w:szCs w:val="32"/>
        </w:rPr>
        <w:t>%；</w:t>
      </w:r>
      <w:r>
        <w:rPr>
          <w:rFonts w:hint="eastAsia" w:ascii="仿宋_GB2312" w:hAnsi="ˎ̥" w:eastAsia="仿宋_GB2312"/>
          <w:b/>
          <w:sz w:val="32"/>
          <w:szCs w:val="32"/>
        </w:rPr>
        <w:t>卫生健康（类）</w:t>
      </w:r>
      <w:r>
        <w:rPr>
          <w:rFonts w:hint="eastAsia" w:ascii="仿宋_GB2312" w:hAnsi="ˎ̥" w:eastAsia="仿宋_GB2312"/>
          <w:sz w:val="32"/>
          <w:szCs w:val="32"/>
        </w:rPr>
        <w:t>支出</w:t>
      </w:r>
      <w:r>
        <w:rPr>
          <w:rFonts w:hint="eastAsia" w:ascii="仿宋_GB2312" w:hAnsi="ˎ̥" w:eastAsia="仿宋_GB2312"/>
          <w:sz w:val="32"/>
          <w:szCs w:val="32"/>
          <w:lang w:val="en-US" w:eastAsia="zh-CN"/>
        </w:rPr>
        <w:t>18.3</w:t>
      </w:r>
      <w:r>
        <w:rPr>
          <w:rFonts w:hint="eastAsia" w:ascii="仿宋_GB2312" w:hAnsi="ˎ̥" w:eastAsia="仿宋_GB2312"/>
          <w:sz w:val="32"/>
          <w:szCs w:val="32"/>
        </w:rPr>
        <w:t>万元，占</w:t>
      </w:r>
      <w:r>
        <w:rPr>
          <w:rFonts w:hint="eastAsia" w:ascii="仿宋_GB2312" w:hAnsi="ˎ̥" w:eastAsia="仿宋_GB2312"/>
          <w:sz w:val="32"/>
          <w:szCs w:val="32"/>
          <w:lang w:val="en-US" w:eastAsia="zh-CN"/>
        </w:rPr>
        <w:t>2.27%</w:t>
      </w:r>
      <w:r>
        <w:rPr>
          <w:rFonts w:hint="eastAsia" w:ascii="仿宋_GB2312" w:hAnsi="ˎ̥" w:eastAsia="仿宋_GB2312"/>
          <w:sz w:val="32"/>
          <w:szCs w:val="32"/>
        </w:rPr>
        <w:t>；</w:t>
      </w:r>
      <w:r>
        <w:rPr>
          <w:rFonts w:hint="eastAsia" w:ascii="仿宋_GB2312" w:hAnsi="ˎ̥" w:eastAsia="仿宋_GB2312"/>
          <w:b/>
          <w:bCs/>
          <w:sz w:val="32"/>
          <w:szCs w:val="32"/>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11.1</w:t>
      </w:r>
      <w:r>
        <w:rPr>
          <w:rFonts w:hint="eastAsia" w:ascii="仿宋_GB2312" w:hAnsi="ˎ̥" w:eastAsia="仿宋_GB2312"/>
          <w:sz w:val="32"/>
          <w:szCs w:val="32"/>
        </w:rPr>
        <w:t>万元，占</w:t>
      </w:r>
      <w:r>
        <w:rPr>
          <w:rFonts w:hint="eastAsia" w:ascii="仿宋_GB2312" w:hAnsi="ˎ̥" w:eastAsia="仿宋_GB2312"/>
          <w:sz w:val="32"/>
          <w:szCs w:val="32"/>
          <w:lang w:val="en-US" w:eastAsia="zh-CN"/>
        </w:rPr>
        <w:t>1.38</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sz w:val="32"/>
          <w:szCs w:val="32"/>
        </w:rPr>
      </w:pPr>
      <w:bookmarkStart w:id="71" w:name="_Toc21701_WPSOffice_Level2"/>
      <w:bookmarkStart w:id="72" w:name="_Toc25136_WPSOffice_Level2"/>
      <w:bookmarkStart w:id="73" w:name="_Toc22318_WPSOffice_Level2"/>
      <w:bookmarkStart w:id="74" w:name="_Toc29364_WPSOffice_Level2"/>
      <w:bookmarkStart w:id="75" w:name="_Toc9502_WPSOffice_Level2"/>
      <w:bookmarkStart w:id="76" w:name="_Toc15415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776.41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804.86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103.66</w:t>
      </w:r>
      <w:r>
        <w:rPr>
          <w:rFonts w:hint="eastAsia" w:ascii="仿宋_GB2312" w:hAnsi="ˎ̥" w:eastAsia="仿宋_GB2312"/>
          <w:sz w:val="32"/>
          <w:szCs w:val="32"/>
        </w:rPr>
        <w:t>%。其中：</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b/>
          <w:sz w:val="32"/>
          <w:szCs w:val="32"/>
        </w:rPr>
      </w:pPr>
      <w:r>
        <w:rPr>
          <w:rFonts w:hint="eastAsia" w:ascii="仿宋_GB2312" w:hAnsi="ˎ̥" w:eastAsia="仿宋_GB2312"/>
          <w:sz w:val="32"/>
          <w:szCs w:val="32"/>
          <w:lang w:val="en-US" w:eastAsia="zh-CN"/>
        </w:rPr>
        <w:t>1.</w:t>
      </w:r>
      <w:r>
        <w:rPr>
          <w:rFonts w:hint="eastAsia" w:ascii="仿宋_GB2312" w:hAnsi="黑体" w:eastAsia="仿宋_GB2312" w:cs="仿宋_GB2312"/>
          <w:sz w:val="32"/>
          <w:szCs w:val="32"/>
        </w:rPr>
        <w:t>社会保障和就业支出（类）</w:t>
      </w:r>
      <w:r>
        <w:rPr>
          <w:rFonts w:hint="eastAsia" w:ascii="仿宋_GB2312" w:hAnsi="宋体" w:eastAsia="仿宋_GB2312" w:cs="仿宋_GB2312"/>
          <w:sz w:val="32"/>
          <w:szCs w:val="32"/>
        </w:rPr>
        <w:t>人力资源和社会保障管理事务</w:t>
      </w:r>
      <w:r>
        <w:rPr>
          <w:rFonts w:hint="eastAsia" w:ascii="仿宋_GB2312" w:hAnsi="黑体" w:eastAsia="仿宋_GB2312" w:cs="仿宋_GB2312"/>
          <w:sz w:val="32"/>
          <w:szCs w:val="32"/>
        </w:rPr>
        <w:t>（款）行政运行（项）</w:t>
      </w:r>
      <w:r>
        <w:rPr>
          <w:rFonts w:hint="eastAsia" w:ascii="仿宋_GB2312" w:hAnsi="ˎ̥" w:eastAsia="仿宋_GB2312"/>
          <w:b/>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黑体" w:eastAsia="仿宋_GB2312" w:cs="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153.15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131.9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86.12</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预算数的主要原因：</w:t>
      </w:r>
      <w:r>
        <w:rPr>
          <w:rFonts w:hint="eastAsia" w:ascii="仿宋_GB2312" w:hAnsi="黑体" w:eastAsia="仿宋_GB2312" w:cs="仿宋_GB2312"/>
          <w:sz w:val="32"/>
          <w:szCs w:val="32"/>
        </w:rPr>
        <w:t>人力资源和社会保障工作的行政运行经费减少。</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sz w:val="32"/>
          <w:szCs w:val="32"/>
          <w:lang w:val="en-US" w:eastAsia="zh-CN"/>
        </w:rPr>
        <w:t>2</w:t>
      </w:r>
      <w:r>
        <w:rPr>
          <w:rFonts w:hint="eastAsia" w:ascii="仿宋_GB2312" w:hAnsi="ˎ̥" w:eastAsia="仿宋_GB2312"/>
          <w:b/>
          <w:sz w:val="32"/>
          <w:szCs w:val="32"/>
        </w:rPr>
        <w:t>.社会保障和就业支出（类）</w:t>
      </w:r>
      <w:r>
        <w:rPr>
          <w:rFonts w:hint="eastAsia" w:ascii="仿宋_GB2312" w:hAnsi="ˎ̥" w:eastAsia="仿宋_GB2312"/>
          <w:b/>
          <w:bCs/>
          <w:sz w:val="32"/>
          <w:szCs w:val="32"/>
        </w:rPr>
        <w:t>人力资源和社会保障管理事务（款）综合业务管理（项）。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年初预算为</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万元，支出决算为</w:t>
      </w:r>
      <w:r>
        <w:rPr>
          <w:rFonts w:hint="eastAsia" w:ascii="仿宋_GB2312" w:hAnsi="黑体" w:eastAsia="仿宋_GB2312" w:cs="仿宋_GB2312"/>
          <w:sz w:val="32"/>
          <w:szCs w:val="32"/>
          <w:lang w:val="en-US" w:eastAsia="zh-CN"/>
        </w:rPr>
        <w:t>26.38</w:t>
      </w:r>
      <w:r>
        <w:rPr>
          <w:rFonts w:hint="eastAsia" w:ascii="仿宋_GB2312" w:hAnsi="黑体" w:eastAsia="仿宋_GB2312" w:cs="仿宋_GB2312"/>
          <w:sz w:val="32"/>
          <w:szCs w:val="32"/>
        </w:rPr>
        <w:t>万元，完成预算数的</w:t>
      </w:r>
      <w:r>
        <w:rPr>
          <w:rFonts w:hint="eastAsia" w:ascii="仿宋_GB2312" w:hAnsi="黑体" w:eastAsia="仿宋_GB2312" w:cs="仿宋_GB2312"/>
          <w:sz w:val="32"/>
          <w:szCs w:val="32"/>
          <w:lang w:val="en-US" w:eastAsia="zh-CN"/>
        </w:rPr>
        <w:t>131.9</w:t>
      </w:r>
      <w:r>
        <w:rPr>
          <w:rFonts w:hint="eastAsia" w:ascii="仿宋_GB2312" w:hAnsi="黑体" w:eastAsia="仿宋_GB2312" w:cs="仿宋_GB2312"/>
          <w:sz w:val="32"/>
          <w:szCs w:val="32"/>
        </w:rPr>
        <w:t>%。</w:t>
      </w:r>
      <w:r>
        <w:rPr>
          <w:rFonts w:hint="eastAsia" w:ascii="仿宋_GB2312" w:hAnsi="ˎ̥" w:eastAsia="仿宋_GB2312"/>
          <w:sz w:val="32"/>
          <w:szCs w:val="32"/>
        </w:rPr>
        <w:t>决算数于预算数的主要原因：</w:t>
      </w:r>
      <w:r>
        <w:rPr>
          <w:rFonts w:hint="eastAsia" w:ascii="仿宋_GB2312" w:hAnsi="黑体" w:eastAsia="仿宋_GB2312" w:cs="仿宋_GB2312"/>
          <w:sz w:val="32"/>
          <w:szCs w:val="32"/>
        </w:rPr>
        <w:t>人力资源和社会保障工作的综合业务管理工作</w:t>
      </w:r>
      <w:r>
        <w:rPr>
          <w:rFonts w:hint="eastAsia" w:ascii="仿宋_GB2312" w:hAnsi="黑体" w:eastAsia="仿宋_GB2312" w:cs="仿宋_GB2312"/>
          <w:sz w:val="32"/>
          <w:szCs w:val="32"/>
          <w:lang w:val="en-US" w:eastAsia="zh-CN"/>
        </w:rPr>
        <w:t>量增加，支出数加大</w:t>
      </w:r>
      <w:r>
        <w:rPr>
          <w:rFonts w:hint="eastAsia" w:ascii="仿宋_GB2312" w:hAnsi="黑体"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bCs/>
          <w:sz w:val="32"/>
          <w:szCs w:val="32"/>
          <w:lang w:val="en-US" w:eastAsia="zh-CN"/>
        </w:rPr>
        <w:t>3</w:t>
      </w:r>
      <w:r>
        <w:rPr>
          <w:rFonts w:hint="eastAsia" w:ascii="仿宋_GB2312" w:hAnsi="ˎ̥" w:eastAsia="仿宋_GB2312"/>
          <w:b/>
          <w:bCs/>
          <w:sz w:val="32"/>
          <w:szCs w:val="32"/>
        </w:rPr>
        <w:t>.</w:t>
      </w:r>
      <w:r>
        <w:rPr>
          <w:rFonts w:hint="eastAsia" w:ascii="仿宋_GB2312" w:hAnsi="ˎ̥" w:eastAsia="仿宋_GB2312"/>
          <w:b/>
          <w:sz w:val="32"/>
          <w:szCs w:val="32"/>
        </w:rPr>
        <w:t xml:space="preserve"> 社会保障和就业支出（类）</w:t>
      </w:r>
      <w:r>
        <w:rPr>
          <w:rFonts w:hint="eastAsia" w:ascii="仿宋_GB2312" w:hAnsi="ˎ̥" w:eastAsia="仿宋_GB2312"/>
          <w:b/>
          <w:bCs/>
          <w:sz w:val="32"/>
          <w:szCs w:val="32"/>
        </w:rPr>
        <w:t>人力资源和社会保障管理事务（款）公共就业服务和职业技能鉴定机构（项）。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年初预算为1</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万元，支出决算为</w:t>
      </w:r>
      <w:r>
        <w:rPr>
          <w:rFonts w:hint="eastAsia" w:ascii="仿宋_GB2312" w:hAnsi="黑体" w:eastAsia="仿宋_GB2312" w:cs="仿宋_GB2312"/>
          <w:sz w:val="32"/>
          <w:szCs w:val="32"/>
          <w:lang w:val="en-US" w:eastAsia="zh-CN"/>
        </w:rPr>
        <w:t>23.71</w:t>
      </w:r>
      <w:r>
        <w:rPr>
          <w:rFonts w:hint="eastAsia" w:ascii="仿宋_GB2312" w:hAnsi="黑体" w:eastAsia="仿宋_GB2312" w:cs="仿宋_GB2312"/>
          <w:sz w:val="32"/>
          <w:szCs w:val="32"/>
        </w:rPr>
        <w:t>万元，完成预算数的</w:t>
      </w:r>
      <w:r>
        <w:rPr>
          <w:rFonts w:hint="eastAsia" w:ascii="仿宋_GB2312" w:hAnsi="黑体" w:eastAsia="仿宋_GB2312" w:cs="仿宋_GB2312"/>
          <w:sz w:val="32"/>
          <w:szCs w:val="32"/>
          <w:lang w:val="en-US" w:eastAsia="zh-CN"/>
        </w:rPr>
        <w:t>158.07</w:t>
      </w:r>
      <w:r>
        <w:rPr>
          <w:rFonts w:hint="eastAsia" w:ascii="仿宋_GB2312" w:hAnsi="黑体" w:eastAsia="仿宋_GB2312" w:cs="仿宋_GB2312"/>
          <w:sz w:val="32"/>
          <w:szCs w:val="32"/>
        </w:rPr>
        <w:t>%。</w:t>
      </w:r>
      <w:r>
        <w:rPr>
          <w:rFonts w:hint="eastAsia" w:ascii="仿宋_GB2312" w:hAnsi="ˎ̥" w:eastAsia="仿宋_GB2312"/>
          <w:sz w:val="32"/>
          <w:szCs w:val="32"/>
        </w:rPr>
        <w:t>决算数</w:t>
      </w:r>
      <w:r>
        <w:rPr>
          <w:rFonts w:hint="eastAsia" w:ascii="仿宋_GB2312" w:hAnsi="ˎ̥" w:eastAsia="仿宋_GB2312"/>
          <w:sz w:val="32"/>
          <w:szCs w:val="32"/>
          <w:lang w:val="en-US" w:eastAsia="zh-CN"/>
        </w:rPr>
        <w:t>大</w:t>
      </w:r>
      <w:r>
        <w:rPr>
          <w:rFonts w:hint="eastAsia" w:ascii="仿宋_GB2312" w:hAnsi="ˎ̥" w:eastAsia="仿宋_GB2312"/>
          <w:sz w:val="32"/>
          <w:szCs w:val="32"/>
        </w:rPr>
        <w:t>于预算数的主要原因：</w:t>
      </w:r>
      <w:r>
        <w:rPr>
          <w:rFonts w:hint="eastAsia" w:ascii="仿宋_GB2312" w:hAnsi="黑体" w:eastAsia="仿宋_GB2312" w:cs="仿宋_GB2312"/>
          <w:sz w:val="32"/>
          <w:szCs w:val="32"/>
        </w:rPr>
        <w:t>人力资源和社会保障管理事务的工作的公共就业服务和职业技能鉴定机构业务</w:t>
      </w:r>
      <w:r>
        <w:rPr>
          <w:rFonts w:hint="eastAsia" w:ascii="仿宋_GB2312" w:hAnsi="黑体" w:eastAsia="仿宋_GB2312" w:cs="仿宋_GB2312"/>
          <w:sz w:val="32"/>
          <w:szCs w:val="32"/>
          <w:lang w:val="en-US" w:eastAsia="zh-CN"/>
        </w:rPr>
        <w:t>量加大，支出费用增多</w:t>
      </w:r>
      <w:r>
        <w:rPr>
          <w:rFonts w:hint="eastAsia" w:ascii="仿宋_GB2312" w:hAnsi="黑体"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bCs/>
          <w:sz w:val="32"/>
          <w:szCs w:val="32"/>
          <w:lang w:val="en-US" w:eastAsia="zh-CN"/>
        </w:rPr>
        <w:t>4</w:t>
      </w:r>
      <w:r>
        <w:rPr>
          <w:rFonts w:hint="eastAsia" w:ascii="仿宋_GB2312" w:hAnsi="ˎ̥" w:eastAsia="仿宋_GB2312"/>
          <w:b/>
          <w:bCs/>
          <w:sz w:val="32"/>
          <w:szCs w:val="32"/>
        </w:rPr>
        <w:t>.</w:t>
      </w:r>
      <w:r>
        <w:rPr>
          <w:rFonts w:hint="eastAsia" w:ascii="仿宋_GB2312" w:hAnsi="ˎ̥" w:eastAsia="仿宋_GB2312"/>
          <w:b/>
          <w:sz w:val="32"/>
          <w:szCs w:val="32"/>
        </w:rPr>
        <w:t xml:space="preserve"> 社会保障和就业支出（类）</w:t>
      </w:r>
      <w:r>
        <w:rPr>
          <w:rFonts w:hint="eastAsia" w:ascii="仿宋_GB2312" w:hAnsi="ˎ̥" w:eastAsia="仿宋_GB2312"/>
          <w:b/>
          <w:bCs/>
          <w:sz w:val="32"/>
          <w:szCs w:val="32"/>
        </w:rPr>
        <w:t>人力资源和社会保障管理事务（款）其他人力资源和社会保障管理事务支出（项）。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年初预算为</w:t>
      </w:r>
      <w:r>
        <w:rPr>
          <w:rFonts w:hint="eastAsia" w:ascii="仿宋_GB2312" w:hAnsi="黑体" w:eastAsia="仿宋_GB2312" w:cs="仿宋_GB2312"/>
          <w:sz w:val="32"/>
          <w:szCs w:val="32"/>
          <w:lang w:val="en-US" w:eastAsia="zh-CN"/>
        </w:rPr>
        <w:t>35.81</w:t>
      </w:r>
      <w:r>
        <w:rPr>
          <w:rFonts w:hint="eastAsia" w:ascii="仿宋_GB2312" w:hAnsi="黑体" w:eastAsia="仿宋_GB2312" w:cs="仿宋_GB2312"/>
          <w:sz w:val="32"/>
          <w:szCs w:val="32"/>
        </w:rPr>
        <w:t>万元，支出决算为</w:t>
      </w:r>
      <w:r>
        <w:rPr>
          <w:rFonts w:hint="eastAsia" w:ascii="仿宋_GB2312" w:hAnsi="黑体" w:eastAsia="仿宋_GB2312" w:cs="仿宋_GB2312"/>
          <w:sz w:val="32"/>
          <w:szCs w:val="32"/>
          <w:lang w:val="en-US" w:eastAsia="zh-CN"/>
        </w:rPr>
        <w:t>63.11</w:t>
      </w:r>
      <w:r>
        <w:rPr>
          <w:rFonts w:hint="eastAsia" w:ascii="仿宋_GB2312" w:hAnsi="黑体" w:eastAsia="仿宋_GB2312" w:cs="仿宋_GB2312"/>
          <w:sz w:val="32"/>
          <w:szCs w:val="32"/>
        </w:rPr>
        <w:t>万元，完成预算数的</w:t>
      </w:r>
      <w:r>
        <w:rPr>
          <w:rFonts w:hint="eastAsia" w:ascii="仿宋_GB2312" w:hAnsi="黑体" w:eastAsia="仿宋_GB2312" w:cs="仿宋_GB2312"/>
          <w:sz w:val="32"/>
          <w:szCs w:val="32"/>
          <w:lang w:val="en-US" w:eastAsia="zh-CN"/>
        </w:rPr>
        <w:t>176.24</w:t>
      </w:r>
      <w:r>
        <w:rPr>
          <w:rFonts w:hint="eastAsia" w:ascii="仿宋_GB2312" w:hAnsi="黑体" w:eastAsia="仿宋_GB2312" w:cs="仿宋_GB2312"/>
          <w:sz w:val="32"/>
          <w:szCs w:val="32"/>
        </w:rPr>
        <w:t>%。</w:t>
      </w:r>
      <w:r>
        <w:rPr>
          <w:rFonts w:hint="eastAsia" w:ascii="仿宋_GB2312" w:hAnsi="ˎ̥" w:eastAsia="仿宋_GB2312"/>
          <w:sz w:val="32"/>
          <w:szCs w:val="32"/>
        </w:rPr>
        <w:t>决算数</w:t>
      </w:r>
      <w:r>
        <w:rPr>
          <w:rFonts w:hint="eastAsia" w:ascii="仿宋_GB2312" w:hAnsi="ˎ̥" w:eastAsia="仿宋_GB2312"/>
          <w:sz w:val="32"/>
          <w:szCs w:val="32"/>
          <w:lang w:val="en-US" w:eastAsia="zh-CN"/>
        </w:rPr>
        <w:t>大</w:t>
      </w:r>
      <w:r>
        <w:rPr>
          <w:rFonts w:hint="eastAsia" w:ascii="仿宋_GB2312" w:hAnsi="ˎ̥" w:eastAsia="仿宋_GB2312"/>
          <w:sz w:val="32"/>
          <w:szCs w:val="32"/>
        </w:rPr>
        <w:t>于预算数的主要原因：</w:t>
      </w:r>
      <w:r>
        <w:rPr>
          <w:rFonts w:hint="eastAsia" w:ascii="仿宋_GB2312" w:hAnsi="黑体" w:eastAsia="仿宋_GB2312" w:cs="仿宋_GB2312"/>
          <w:sz w:val="32"/>
          <w:szCs w:val="32"/>
        </w:rPr>
        <w:t>人力资源和社会保障管理事务的其他人力资源和社会保障管理事务工资量</w:t>
      </w:r>
      <w:r>
        <w:rPr>
          <w:rFonts w:hint="eastAsia" w:ascii="仿宋_GB2312" w:hAnsi="黑体" w:eastAsia="仿宋_GB2312" w:cs="仿宋_GB2312"/>
          <w:sz w:val="32"/>
          <w:szCs w:val="32"/>
          <w:lang w:val="en-US" w:eastAsia="zh-CN"/>
        </w:rPr>
        <w:t>加大</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增多</w:t>
      </w:r>
      <w:r>
        <w:rPr>
          <w:rFonts w:hint="eastAsia" w:ascii="仿宋_GB2312" w:hAnsi="黑体"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bCs/>
          <w:sz w:val="32"/>
          <w:szCs w:val="32"/>
          <w:lang w:val="en-US" w:eastAsia="zh-CN"/>
        </w:rPr>
        <w:t>5</w:t>
      </w:r>
      <w:r>
        <w:rPr>
          <w:rFonts w:hint="eastAsia" w:ascii="仿宋_GB2312" w:hAnsi="ˎ̥" w:eastAsia="仿宋_GB2312"/>
          <w:b/>
          <w:bCs/>
          <w:sz w:val="32"/>
          <w:szCs w:val="32"/>
        </w:rPr>
        <w:t>.</w:t>
      </w:r>
      <w:r>
        <w:rPr>
          <w:rFonts w:hint="eastAsia" w:ascii="仿宋_GB2312" w:hAnsi="ˎ̥" w:eastAsia="仿宋_GB2312"/>
          <w:b/>
          <w:sz w:val="32"/>
          <w:szCs w:val="32"/>
        </w:rPr>
        <w:t xml:space="preserve"> 社会保障和就业支出（类）</w:t>
      </w:r>
      <w:r>
        <w:rPr>
          <w:rFonts w:hint="eastAsia" w:ascii="仿宋_GB2312" w:hAnsi="ˎ̥" w:eastAsia="仿宋_GB2312"/>
          <w:b/>
          <w:bCs/>
          <w:sz w:val="32"/>
          <w:szCs w:val="32"/>
        </w:rPr>
        <w:t>行政事业单位养老</w:t>
      </w:r>
      <w:r>
        <w:rPr>
          <w:rFonts w:hint="eastAsia" w:ascii="仿宋_GB2312" w:hAnsi="ˎ̥" w:eastAsia="仿宋_GB2312"/>
          <w:b/>
          <w:bCs/>
          <w:sz w:val="32"/>
          <w:szCs w:val="32"/>
          <w:lang w:val="en-US" w:eastAsia="zh-CN"/>
        </w:rPr>
        <w:t>支出</w:t>
      </w:r>
      <w:r>
        <w:rPr>
          <w:rFonts w:hint="eastAsia" w:ascii="仿宋_GB2312" w:hAnsi="ˎ̥" w:eastAsia="仿宋_GB2312"/>
          <w:b/>
          <w:bCs/>
          <w:sz w:val="32"/>
          <w:szCs w:val="32"/>
        </w:rPr>
        <w:t>（款）机关事业单位基本养老保险缴费支出（项）。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年初预算为</w:t>
      </w:r>
      <w:r>
        <w:rPr>
          <w:rFonts w:hint="eastAsia" w:ascii="仿宋_GB2312" w:hAnsi="宋体" w:eastAsia="仿宋_GB2312" w:cs="仿宋_GB2312"/>
          <w:sz w:val="32"/>
          <w:szCs w:val="32"/>
          <w:lang w:val="en-US" w:eastAsia="zh-CN"/>
        </w:rPr>
        <w:t>13.2</w:t>
      </w:r>
      <w:r>
        <w:rPr>
          <w:rFonts w:hint="eastAsia" w:ascii="仿宋_GB2312" w:hAnsi="黑体" w:eastAsia="仿宋_GB2312" w:cs="仿宋_GB2312"/>
          <w:sz w:val="32"/>
          <w:szCs w:val="32"/>
        </w:rPr>
        <w:t>万元，支出决算为</w:t>
      </w:r>
      <w:r>
        <w:rPr>
          <w:rFonts w:hint="eastAsia" w:ascii="仿宋_GB2312" w:hAnsi="黑体" w:eastAsia="仿宋_GB2312" w:cs="仿宋_GB2312"/>
          <w:sz w:val="32"/>
          <w:szCs w:val="32"/>
          <w:lang w:val="en-US" w:eastAsia="zh-CN"/>
        </w:rPr>
        <w:t>13.11</w:t>
      </w:r>
      <w:r>
        <w:rPr>
          <w:rFonts w:hint="eastAsia" w:ascii="仿宋_GB2312" w:hAnsi="黑体" w:eastAsia="仿宋_GB2312" w:cs="仿宋_GB2312"/>
          <w:sz w:val="32"/>
          <w:szCs w:val="32"/>
        </w:rPr>
        <w:t>万元，完成预算数的</w:t>
      </w:r>
      <w:r>
        <w:rPr>
          <w:rFonts w:hint="eastAsia" w:ascii="仿宋_GB2312" w:hAnsi="黑体" w:eastAsia="仿宋_GB2312" w:cs="仿宋_GB2312"/>
          <w:sz w:val="32"/>
          <w:szCs w:val="32"/>
          <w:lang w:val="en-US" w:eastAsia="zh-CN"/>
        </w:rPr>
        <w:t>99.32</w:t>
      </w:r>
      <w:r>
        <w:rPr>
          <w:rFonts w:hint="eastAsia" w:ascii="仿宋_GB2312" w:hAnsi="黑体" w:eastAsia="仿宋_GB2312" w:cs="仿宋_GB2312"/>
          <w:sz w:val="32"/>
          <w:szCs w:val="32"/>
        </w:rPr>
        <w:t>%。</w:t>
      </w:r>
      <w:r>
        <w:rPr>
          <w:rFonts w:hint="eastAsia" w:ascii="仿宋_GB2312" w:hAnsi="ˎ̥" w:eastAsia="仿宋_GB2312"/>
          <w:sz w:val="32"/>
          <w:szCs w:val="32"/>
        </w:rPr>
        <w:t>决算数小于预算数的主要原因：单位离退休人员变动大，机</w:t>
      </w:r>
      <w:r>
        <w:rPr>
          <w:rFonts w:hint="eastAsia" w:ascii="仿宋_GB2312" w:hAnsi="黑体" w:eastAsia="仿宋_GB2312" w:cs="仿宋_GB2312"/>
          <w:sz w:val="32"/>
          <w:szCs w:val="32"/>
        </w:rPr>
        <w:t>关事业单位基本养老保险缴费支出减少。</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bCs/>
          <w:sz w:val="32"/>
          <w:szCs w:val="32"/>
          <w:lang w:val="en-US" w:eastAsia="zh-CN"/>
        </w:rPr>
        <w:t>6</w:t>
      </w:r>
      <w:r>
        <w:rPr>
          <w:rFonts w:hint="eastAsia" w:ascii="仿宋_GB2312" w:hAnsi="ˎ̥" w:eastAsia="仿宋_GB2312"/>
          <w:b/>
          <w:bCs/>
          <w:sz w:val="32"/>
          <w:szCs w:val="32"/>
        </w:rPr>
        <w:t>.</w:t>
      </w:r>
      <w:r>
        <w:rPr>
          <w:rFonts w:hint="eastAsia" w:ascii="仿宋_GB2312" w:hAnsi="ˎ̥" w:eastAsia="仿宋_GB2312"/>
          <w:b/>
          <w:sz w:val="32"/>
          <w:szCs w:val="32"/>
        </w:rPr>
        <w:t xml:space="preserve"> 社会保障和就业支出（类）</w:t>
      </w:r>
      <w:r>
        <w:rPr>
          <w:rFonts w:hint="eastAsia" w:ascii="仿宋_GB2312" w:hAnsi="ˎ̥" w:eastAsia="仿宋_GB2312"/>
          <w:b/>
          <w:bCs/>
          <w:sz w:val="32"/>
          <w:szCs w:val="32"/>
        </w:rPr>
        <w:t>行政事业单位养老</w:t>
      </w:r>
      <w:r>
        <w:rPr>
          <w:rFonts w:hint="eastAsia" w:ascii="仿宋_GB2312" w:hAnsi="ˎ̥" w:eastAsia="仿宋_GB2312"/>
          <w:b/>
          <w:bCs/>
          <w:sz w:val="32"/>
          <w:szCs w:val="32"/>
          <w:lang w:val="en-US" w:eastAsia="zh-CN"/>
        </w:rPr>
        <w:t>支出</w:t>
      </w:r>
      <w:r>
        <w:rPr>
          <w:rFonts w:hint="eastAsia" w:ascii="仿宋_GB2312" w:hAnsi="ˎ̥" w:eastAsia="仿宋_GB2312"/>
          <w:b/>
          <w:bCs/>
          <w:sz w:val="32"/>
          <w:szCs w:val="32"/>
        </w:rPr>
        <w:t>（款）机关事业单位职业年金缴费支出（项）。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年初预算为</w:t>
      </w:r>
      <w:r>
        <w:rPr>
          <w:rFonts w:hint="eastAsia" w:ascii="仿宋_GB2312" w:hAnsi="宋体" w:eastAsia="仿宋_GB2312" w:cs="仿宋_GB2312"/>
          <w:sz w:val="32"/>
          <w:szCs w:val="32"/>
          <w:lang w:val="en-US" w:eastAsia="zh-CN"/>
        </w:rPr>
        <w:t>0</w:t>
      </w:r>
      <w:r>
        <w:rPr>
          <w:rFonts w:hint="eastAsia" w:ascii="仿宋_GB2312" w:hAnsi="黑体" w:eastAsia="仿宋_GB2312" w:cs="仿宋_GB2312"/>
          <w:sz w:val="32"/>
          <w:szCs w:val="32"/>
        </w:rPr>
        <w:t>万元，支出决算为</w:t>
      </w:r>
      <w:r>
        <w:rPr>
          <w:rFonts w:hint="eastAsia" w:ascii="仿宋_GB2312" w:hAnsi="黑体" w:eastAsia="仿宋_GB2312" w:cs="仿宋_GB2312"/>
          <w:sz w:val="32"/>
          <w:szCs w:val="32"/>
          <w:lang w:val="en-US" w:eastAsia="zh-CN"/>
        </w:rPr>
        <w:t>0.16</w:t>
      </w:r>
      <w:r>
        <w:rPr>
          <w:rFonts w:hint="eastAsia" w:ascii="仿宋_GB2312" w:hAnsi="黑体" w:eastAsia="仿宋_GB2312" w:cs="仿宋_GB2312"/>
          <w:sz w:val="32"/>
          <w:szCs w:val="32"/>
        </w:rPr>
        <w:t>万元。</w:t>
      </w:r>
      <w:r>
        <w:rPr>
          <w:rFonts w:hint="eastAsia" w:ascii="仿宋_GB2312" w:hAnsi="ˎ̥" w:eastAsia="仿宋_GB2312"/>
          <w:sz w:val="32"/>
          <w:szCs w:val="32"/>
        </w:rPr>
        <w:t>决算数</w:t>
      </w:r>
      <w:r>
        <w:rPr>
          <w:rFonts w:hint="eastAsia" w:ascii="仿宋_GB2312" w:hAnsi="ˎ̥" w:eastAsia="仿宋_GB2312"/>
          <w:sz w:val="32"/>
          <w:szCs w:val="32"/>
          <w:lang w:val="en-US" w:eastAsia="zh-CN"/>
        </w:rPr>
        <w:t>大</w:t>
      </w:r>
      <w:r>
        <w:rPr>
          <w:rFonts w:hint="eastAsia" w:ascii="仿宋_GB2312" w:hAnsi="ˎ̥" w:eastAsia="仿宋_GB2312"/>
          <w:sz w:val="32"/>
          <w:szCs w:val="32"/>
        </w:rPr>
        <w:t>于预算数的主要原因：单位离退休人员</w:t>
      </w:r>
      <w:r>
        <w:rPr>
          <w:rFonts w:hint="eastAsia" w:ascii="仿宋_GB2312" w:hAnsi="ˎ̥" w:eastAsia="仿宋_GB2312"/>
          <w:sz w:val="32"/>
          <w:szCs w:val="32"/>
          <w:lang w:val="en-US" w:eastAsia="zh-CN"/>
        </w:rPr>
        <w:t>增多</w:t>
      </w:r>
      <w:r>
        <w:rPr>
          <w:rFonts w:hint="eastAsia" w:ascii="仿宋_GB2312" w:hAnsi="ˎ̥" w:eastAsia="仿宋_GB2312"/>
          <w:sz w:val="32"/>
          <w:szCs w:val="32"/>
        </w:rPr>
        <w:t>，</w:t>
      </w:r>
      <w:r>
        <w:rPr>
          <w:rFonts w:hint="eastAsia" w:ascii="仿宋_GB2312" w:hAnsi="ˎ̥" w:eastAsia="仿宋_GB2312" w:cs="Times New Roman"/>
          <w:b w:val="0"/>
          <w:bCs w:val="0"/>
          <w:sz w:val="32"/>
          <w:szCs w:val="32"/>
        </w:rPr>
        <w:t>机关事业单位职业年金缴费支出</w:t>
      </w:r>
      <w:r>
        <w:rPr>
          <w:rFonts w:hint="eastAsia" w:ascii="仿宋_GB2312" w:hAnsi="ˎ̥" w:eastAsia="仿宋_GB2312" w:cs="Times New Roman"/>
          <w:b w:val="0"/>
          <w:bCs w:val="0"/>
          <w:sz w:val="32"/>
          <w:szCs w:val="32"/>
          <w:lang w:val="en-US" w:eastAsia="zh-CN"/>
        </w:rPr>
        <w:t>增加</w:t>
      </w:r>
      <w:r>
        <w:rPr>
          <w:rFonts w:hint="eastAsia" w:ascii="仿宋_GB2312" w:hAnsi="ˎ̥"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bCs/>
          <w:sz w:val="32"/>
          <w:szCs w:val="32"/>
          <w:lang w:val="en-US" w:eastAsia="zh-CN"/>
        </w:rPr>
        <w:t>7</w:t>
      </w:r>
      <w:r>
        <w:rPr>
          <w:rFonts w:hint="eastAsia" w:ascii="仿宋_GB2312" w:hAnsi="ˎ̥" w:eastAsia="仿宋_GB2312"/>
          <w:b/>
          <w:bCs/>
          <w:sz w:val="32"/>
          <w:szCs w:val="32"/>
        </w:rPr>
        <w:t>.</w:t>
      </w:r>
      <w:r>
        <w:rPr>
          <w:rFonts w:hint="eastAsia" w:ascii="仿宋_GB2312" w:hAnsi="ˎ̥" w:eastAsia="仿宋_GB2312"/>
          <w:b/>
          <w:sz w:val="32"/>
          <w:szCs w:val="32"/>
        </w:rPr>
        <w:t xml:space="preserve"> 社会保障和就业支出（类）</w:t>
      </w:r>
      <w:r>
        <w:rPr>
          <w:rFonts w:hint="eastAsia" w:ascii="仿宋_GB2312" w:hAnsi="ˎ̥" w:eastAsia="仿宋_GB2312"/>
          <w:b/>
          <w:bCs/>
          <w:sz w:val="32"/>
          <w:szCs w:val="32"/>
        </w:rPr>
        <w:t>就业补助（款）其他就</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bCs/>
          <w:sz w:val="32"/>
          <w:szCs w:val="32"/>
        </w:rPr>
        <w:t>业补助支出（项）。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年初预算为</w:t>
      </w:r>
      <w:r>
        <w:rPr>
          <w:rFonts w:hint="eastAsia" w:ascii="仿宋_GB2312" w:hAnsi="黑体" w:eastAsia="仿宋_GB2312" w:cs="仿宋_GB2312"/>
          <w:sz w:val="32"/>
          <w:szCs w:val="32"/>
          <w:lang w:val="en-US" w:eastAsia="zh-CN"/>
        </w:rPr>
        <w:t>23</w:t>
      </w:r>
      <w:r>
        <w:rPr>
          <w:rFonts w:hint="eastAsia" w:ascii="仿宋_GB2312" w:hAnsi="黑体" w:eastAsia="仿宋_GB2312" w:cs="仿宋_GB2312"/>
          <w:sz w:val="32"/>
          <w:szCs w:val="32"/>
        </w:rPr>
        <w:t>0万元，支出决算为</w:t>
      </w:r>
      <w:r>
        <w:rPr>
          <w:rFonts w:hint="eastAsia" w:ascii="仿宋_GB2312" w:hAnsi="黑体" w:eastAsia="仿宋_GB2312" w:cs="仿宋_GB2312"/>
          <w:sz w:val="32"/>
          <w:szCs w:val="32"/>
          <w:lang w:val="en-US" w:eastAsia="zh-CN"/>
        </w:rPr>
        <w:t>354.55</w:t>
      </w:r>
      <w:r>
        <w:rPr>
          <w:rFonts w:hint="eastAsia" w:ascii="仿宋_GB2312" w:hAnsi="黑体" w:eastAsia="仿宋_GB2312" w:cs="仿宋_GB2312"/>
          <w:sz w:val="32"/>
          <w:szCs w:val="32"/>
        </w:rPr>
        <w:t>万元。完成预算数的</w:t>
      </w:r>
      <w:r>
        <w:rPr>
          <w:rFonts w:hint="eastAsia" w:ascii="仿宋_GB2312" w:hAnsi="黑体" w:eastAsia="仿宋_GB2312" w:cs="仿宋_GB2312"/>
          <w:sz w:val="32"/>
          <w:szCs w:val="32"/>
          <w:lang w:val="en-US" w:eastAsia="zh-CN"/>
        </w:rPr>
        <w:t>154.15</w:t>
      </w:r>
      <w:r>
        <w:rPr>
          <w:rFonts w:hint="eastAsia" w:ascii="仿宋_GB2312" w:hAnsi="黑体" w:eastAsia="仿宋_GB2312" w:cs="仿宋_GB2312"/>
          <w:sz w:val="32"/>
          <w:szCs w:val="32"/>
        </w:rPr>
        <w:t>%。</w:t>
      </w:r>
      <w:r>
        <w:rPr>
          <w:rFonts w:hint="eastAsia" w:ascii="仿宋_GB2312" w:hAnsi="ˎ̥" w:eastAsia="仿宋_GB2312"/>
          <w:sz w:val="32"/>
          <w:szCs w:val="32"/>
        </w:rPr>
        <w:t>决算数大于预算数的主要原因：</w:t>
      </w:r>
      <w:r>
        <w:rPr>
          <w:rFonts w:hint="eastAsia" w:ascii="仿宋_GB2312" w:hAnsi="ˎ̥" w:eastAsia="仿宋_GB2312"/>
          <w:sz w:val="32"/>
          <w:szCs w:val="32"/>
          <w:lang w:val="en-US" w:eastAsia="zh-CN"/>
        </w:rPr>
        <w:t>今年</w:t>
      </w:r>
      <w:r>
        <w:rPr>
          <w:rFonts w:hint="eastAsia" w:ascii="仿宋_GB2312" w:hAnsi="ˎ̥" w:eastAsia="仿宋_GB2312"/>
          <w:sz w:val="32"/>
          <w:szCs w:val="32"/>
        </w:rPr>
        <w:t>就业补助项目</w:t>
      </w:r>
      <w:r>
        <w:rPr>
          <w:rFonts w:hint="eastAsia" w:ascii="仿宋_GB2312" w:hAnsi="ˎ̥" w:eastAsia="仿宋_GB2312"/>
          <w:sz w:val="32"/>
          <w:szCs w:val="32"/>
          <w:lang w:val="en-US" w:eastAsia="zh-CN"/>
        </w:rPr>
        <w:t>业务加大</w:t>
      </w:r>
      <w:r>
        <w:rPr>
          <w:rFonts w:hint="eastAsia" w:ascii="仿宋_GB2312" w:hAnsi="ˎ̥" w:eastAsia="仿宋_GB2312"/>
          <w:sz w:val="32"/>
          <w:szCs w:val="32"/>
        </w:rPr>
        <w:t>，其他就业补助支出增加。</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bCs/>
          <w:sz w:val="32"/>
          <w:szCs w:val="32"/>
          <w:lang w:val="en-US" w:eastAsia="zh-CN"/>
        </w:rPr>
        <w:t>8</w:t>
      </w:r>
      <w:r>
        <w:rPr>
          <w:rFonts w:hint="eastAsia" w:ascii="仿宋_GB2312" w:hAnsi="ˎ̥" w:eastAsia="仿宋_GB2312"/>
          <w:b/>
          <w:bCs/>
          <w:sz w:val="32"/>
          <w:szCs w:val="32"/>
        </w:rPr>
        <w:t>.</w:t>
      </w:r>
      <w:r>
        <w:rPr>
          <w:rFonts w:hint="eastAsia" w:ascii="仿宋_GB2312" w:hAnsi="ˎ̥" w:eastAsia="仿宋_GB2312"/>
          <w:b/>
          <w:sz w:val="32"/>
          <w:szCs w:val="32"/>
        </w:rPr>
        <w:t xml:space="preserve"> 社会保障和就业支出（类）</w:t>
      </w:r>
      <w:r>
        <w:rPr>
          <w:rFonts w:hint="eastAsia" w:ascii="仿宋_GB2312" w:hAnsi="ˎ̥" w:eastAsia="仿宋_GB2312"/>
          <w:b/>
          <w:bCs/>
          <w:sz w:val="32"/>
          <w:szCs w:val="32"/>
        </w:rPr>
        <w:t>其他社会保障和就业支出（款）其他社会保障和就业支出（项）。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年初预算为0万元，支出决算为</w:t>
      </w:r>
      <w:r>
        <w:rPr>
          <w:rFonts w:hint="eastAsia" w:ascii="仿宋_GB2312" w:hAnsi="黑体" w:eastAsia="仿宋_GB2312" w:cs="仿宋_GB2312"/>
          <w:sz w:val="32"/>
          <w:szCs w:val="32"/>
          <w:lang w:val="en-US" w:eastAsia="zh-CN"/>
        </w:rPr>
        <w:t>162.53</w:t>
      </w:r>
      <w:r>
        <w:rPr>
          <w:rFonts w:hint="eastAsia" w:ascii="仿宋_GB2312" w:hAnsi="黑体" w:eastAsia="仿宋_GB2312" w:cs="仿宋_GB2312"/>
          <w:sz w:val="32"/>
          <w:szCs w:val="32"/>
        </w:rPr>
        <w:t>万元。</w:t>
      </w:r>
      <w:r>
        <w:rPr>
          <w:rFonts w:hint="eastAsia" w:ascii="仿宋_GB2312" w:hAnsi="ˎ̥" w:eastAsia="仿宋_GB2312"/>
          <w:sz w:val="32"/>
          <w:szCs w:val="32"/>
        </w:rPr>
        <w:t>决算数大于预算数的主要原因：年初无此项预算，今年增加其他生活救助业务，其他农村生活救助经费支出增加</w:t>
      </w:r>
      <w:r>
        <w:rPr>
          <w:rFonts w:hint="eastAsia" w:ascii="仿宋_GB2312" w:hAnsi="黑体"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bCs/>
          <w:sz w:val="32"/>
          <w:szCs w:val="32"/>
          <w:lang w:val="en-US" w:eastAsia="zh-CN"/>
        </w:rPr>
        <w:t>9.</w:t>
      </w:r>
      <w:r>
        <w:rPr>
          <w:rFonts w:hint="eastAsia" w:ascii="仿宋_GB2312" w:hAnsi="ˎ̥" w:eastAsia="仿宋_GB2312"/>
          <w:b/>
          <w:bCs/>
          <w:sz w:val="32"/>
          <w:szCs w:val="32"/>
        </w:rPr>
        <w:t xml:space="preserve"> </w:t>
      </w:r>
      <w:r>
        <w:rPr>
          <w:rFonts w:hint="eastAsia" w:ascii="仿宋_GB2312" w:hAnsi="ˎ̥" w:eastAsia="仿宋_GB2312"/>
          <w:b/>
          <w:sz w:val="32"/>
          <w:szCs w:val="32"/>
        </w:rPr>
        <w:t>卫生健康支出（类）</w:t>
      </w:r>
      <w:r>
        <w:rPr>
          <w:rFonts w:hint="eastAsia" w:ascii="仿宋_GB2312" w:hAnsi="ˎ̥" w:eastAsia="仿宋_GB2312"/>
          <w:b/>
          <w:bCs/>
          <w:sz w:val="32"/>
          <w:szCs w:val="32"/>
        </w:rPr>
        <w:t>行政事业单位医疗（款）行政单位医疗（项）。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年初预算为</w:t>
      </w:r>
      <w:r>
        <w:rPr>
          <w:rFonts w:hint="eastAsia" w:ascii="仿宋_GB2312" w:hAnsi="宋体" w:eastAsia="仿宋_GB2312" w:cs="仿宋_GB2312"/>
          <w:sz w:val="32"/>
          <w:szCs w:val="32"/>
          <w:lang w:val="en-US" w:eastAsia="zh-CN"/>
        </w:rPr>
        <w:t>7.01</w:t>
      </w:r>
      <w:r>
        <w:rPr>
          <w:rFonts w:hint="eastAsia" w:ascii="仿宋_GB2312" w:hAnsi="黑体" w:eastAsia="仿宋_GB2312" w:cs="仿宋_GB2312"/>
          <w:sz w:val="32"/>
          <w:szCs w:val="32"/>
        </w:rPr>
        <w:t>万元，支出决算为</w:t>
      </w:r>
      <w:r>
        <w:rPr>
          <w:rFonts w:hint="eastAsia" w:ascii="仿宋_GB2312" w:hAnsi="黑体" w:eastAsia="仿宋_GB2312" w:cs="仿宋_GB2312"/>
          <w:sz w:val="32"/>
          <w:szCs w:val="32"/>
          <w:lang w:val="en-US" w:eastAsia="zh-CN"/>
        </w:rPr>
        <w:t>6.96</w:t>
      </w:r>
      <w:r>
        <w:rPr>
          <w:rFonts w:hint="eastAsia" w:ascii="仿宋_GB2312" w:hAnsi="黑体" w:eastAsia="仿宋_GB2312" w:cs="仿宋_GB2312"/>
          <w:sz w:val="32"/>
          <w:szCs w:val="32"/>
        </w:rPr>
        <w:t>万元，完成预算数的</w:t>
      </w:r>
      <w:r>
        <w:rPr>
          <w:rFonts w:hint="eastAsia" w:ascii="仿宋_GB2312" w:hAnsi="黑体" w:eastAsia="仿宋_GB2312" w:cs="仿宋_GB2312"/>
          <w:sz w:val="32"/>
          <w:szCs w:val="32"/>
          <w:lang w:val="en-US" w:eastAsia="zh-CN"/>
        </w:rPr>
        <w:t>99.29</w:t>
      </w:r>
      <w:r>
        <w:rPr>
          <w:rFonts w:hint="eastAsia" w:ascii="仿宋_GB2312" w:hAnsi="黑体" w:eastAsia="仿宋_GB2312" w:cs="仿宋_GB2312"/>
          <w:sz w:val="32"/>
          <w:szCs w:val="32"/>
        </w:rPr>
        <w:t>%。</w:t>
      </w:r>
      <w:r>
        <w:rPr>
          <w:rFonts w:hint="eastAsia" w:ascii="仿宋_GB2312" w:hAnsi="ˎ̥" w:eastAsia="仿宋_GB2312"/>
          <w:sz w:val="32"/>
          <w:szCs w:val="32"/>
        </w:rPr>
        <w:t>决算数小于预算数的主要原因：行政单位医疗保险缴费基数变化而减少</w:t>
      </w:r>
      <w:r>
        <w:rPr>
          <w:rFonts w:hint="eastAsia" w:ascii="仿宋_GB2312" w:hAnsi="黑体"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bCs/>
          <w:sz w:val="32"/>
          <w:szCs w:val="32"/>
          <w:lang w:val="en-US" w:eastAsia="zh-CN"/>
        </w:rPr>
        <w:t>10</w:t>
      </w:r>
      <w:r>
        <w:rPr>
          <w:rFonts w:hint="eastAsia" w:ascii="仿宋_GB2312" w:hAnsi="ˎ̥" w:eastAsia="仿宋_GB2312"/>
          <w:b/>
          <w:bCs/>
          <w:sz w:val="32"/>
          <w:szCs w:val="32"/>
        </w:rPr>
        <w:t>.</w:t>
      </w:r>
      <w:r>
        <w:rPr>
          <w:rFonts w:hint="eastAsia" w:ascii="仿宋_GB2312" w:hAnsi="ˎ̥" w:eastAsia="仿宋_GB2312"/>
          <w:b/>
          <w:sz w:val="32"/>
          <w:szCs w:val="32"/>
        </w:rPr>
        <w:t xml:space="preserve"> 卫生健康支出（类）</w:t>
      </w:r>
      <w:r>
        <w:rPr>
          <w:rFonts w:hint="eastAsia" w:ascii="仿宋_GB2312" w:hAnsi="ˎ̥" w:eastAsia="仿宋_GB2312"/>
          <w:b/>
          <w:bCs/>
          <w:sz w:val="32"/>
          <w:szCs w:val="32"/>
        </w:rPr>
        <w:t>行政事业单位医疗（款）公务员医疗补助（项）。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黑体" w:eastAsia="仿宋_GB2312" w:cs="仿宋_GB2312"/>
          <w:sz w:val="32"/>
          <w:szCs w:val="32"/>
        </w:rPr>
        <w:t>年初预算为</w:t>
      </w:r>
      <w:r>
        <w:rPr>
          <w:rFonts w:hint="eastAsia" w:ascii="仿宋_GB2312" w:hAnsi="宋体" w:eastAsia="仿宋_GB2312" w:cs="仿宋_GB2312"/>
          <w:sz w:val="32"/>
          <w:szCs w:val="32"/>
          <w:lang w:val="en-US" w:eastAsia="zh-CN"/>
        </w:rPr>
        <w:t>11.1</w:t>
      </w:r>
      <w:r>
        <w:rPr>
          <w:rFonts w:hint="eastAsia" w:ascii="仿宋_GB2312" w:hAnsi="黑体" w:eastAsia="仿宋_GB2312" w:cs="仿宋_GB2312"/>
          <w:sz w:val="32"/>
          <w:szCs w:val="32"/>
        </w:rPr>
        <w:t>万元，支出决算为</w:t>
      </w:r>
      <w:r>
        <w:rPr>
          <w:rFonts w:hint="eastAsia" w:ascii="仿宋_GB2312" w:hAnsi="黑体" w:eastAsia="仿宋_GB2312" w:cs="仿宋_GB2312"/>
          <w:sz w:val="32"/>
          <w:szCs w:val="32"/>
          <w:lang w:val="en-US" w:eastAsia="zh-CN"/>
        </w:rPr>
        <w:t>11.34</w:t>
      </w:r>
      <w:r>
        <w:rPr>
          <w:rFonts w:hint="eastAsia" w:ascii="仿宋_GB2312" w:hAnsi="黑体" w:eastAsia="仿宋_GB2312" w:cs="仿宋_GB2312"/>
          <w:sz w:val="32"/>
          <w:szCs w:val="32"/>
        </w:rPr>
        <w:t>万元，完成预算数的</w:t>
      </w:r>
      <w:r>
        <w:rPr>
          <w:rFonts w:hint="eastAsia" w:ascii="仿宋_GB2312" w:hAnsi="黑体" w:eastAsia="仿宋_GB2312" w:cs="仿宋_GB2312"/>
          <w:sz w:val="32"/>
          <w:szCs w:val="32"/>
          <w:lang w:val="en-US" w:eastAsia="zh-CN"/>
        </w:rPr>
        <w:t>102.16</w:t>
      </w:r>
      <w:r>
        <w:rPr>
          <w:rFonts w:hint="eastAsia" w:ascii="仿宋_GB2312" w:hAnsi="黑体" w:eastAsia="仿宋_GB2312" w:cs="仿宋_GB2312"/>
          <w:sz w:val="32"/>
          <w:szCs w:val="32"/>
        </w:rPr>
        <w:t>%。</w:t>
      </w:r>
      <w:r>
        <w:rPr>
          <w:rFonts w:hint="eastAsia" w:ascii="仿宋_GB2312" w:hAnsi="ˎ̥" w:eastAsia="仿宋_GB2312"/>
          <w:sz w:val="32"/>
          <w:szCs w:val="32"/>
        </w:rPr>
        <w:t>决算数小于预算数的主要原因：事业单位医疗保险缴费基数变化而</w:t>
      </w:r>
      <w:r>
        <w:rPr>
          <w:rFonts w:hint="eastAsia" w:ascii="仿宋_GB2312" w:hAnsi="黑体" w:eastAsia="仿宋_GB2312" w:cs="仿宋_GB2312"/>
          <w:sz w:val="32"/>
          <w:szCs w:val="32"/>
        </w:rPr>
        <w:t>减少。</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b/>
          <w:bCs/>
          <w:sz w:val="32"/>
          <w:szCs w:val="32"/>
        </w:rPr>
      </w:pPr>
      <w:r>
        <w:rPr>
          <w:rFonts w:hint="eastAsia" w:ascii="仿宋_GB2312" w:hAnsi="ˎ̥" w:eastAsia="仿宋_GB2312"/>
          <w:b/>
          <w:bCs/>
          <w:sz w:val="32"/>
          <w:szCs w:val="32"/>
          <w:lang w:val="en-US" w:eastAsia="zh-CN"/>
        </w:rPr>
        <w:t>11.</w:t>
      </w:r>
      <w:r>
        <w:rPr>
          <w:rFonts w:hint="eastAsia" w:ascii="仿宋_GB2312" w:hAnsi="ˎ̥" w:eastAsia="仿宋_GB2312"/>
          <w:b/>
          <w:sz w:val="32"/>
          <w:szCs w:val="32"/>
        </w:rPr>
        <w:t>住房保障支出（类）</w:t>
      </w:r>
      <w:r>
        <w:rPr>
          <w:rFonts w:hint="eastAsia" w:ascii="仿宋_GB2312" w:hAnsi="ˎ̥" w:eastAsia="仿宋_GB2312"/>
          <w:b/>
          <w:bCs/>
          <w:sz w:val="32"/>
          <w:szCs w:val="32"/>
        </w:rPr>
        <w:t>住房改革支出（款）住房公积金（项）。</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b/>
          <w:bCs/>
          <w:sz w:val="32"/>
          <w:szCs w:val="32"/>
        </w:rPr>
      </w:pPr>
      <w:r>
        <w:rPr>
          <w:rFonts w:hint="eastAsia" w:ascii="仿宋_GB2312" w:hAnsi="黑体" w:eastAsia="仿宋_GB2312" w:cs="仿宋_GB2312"/>
          <w:sz w:val="32"/>
          <w:szCs w:val="32"/>
        </w:rPr>
        <w:t>年初预算为</w:t>
      </w:r>
      <w:r>
        <w:rPr>
          <w:rFonts w:hint="eastAsia" w:ascii="仿宋_GB2312" w:hAnsi="黑体" w:eastAsia="仿宋_GB2312" w:cs="仿宋_GB2312"/>
          <w:sz w:val="32"/>
          <w:szCs w:val="32"/>
          <w:lang w:val="en-US" w:eastAsia="zh-CN"/>
        </w:rPr>
        <w:t>11.14</w:t>
      </w:r>
      <w:r>
        <w:rPr>
          <w:rFonts w:hint="eastAsia" w:ascii="仿宋_GB2312" w:hAnsi="黑体" w:eastAsia="仿宋_GB2312" w:cs="仿宋_GB2312"/>
          <w:sz w:val="32"/>
          <w:szCs w:val="32"/>
        </w:rPr>
        <w:t>万元，支出决算为</w:t>
      </w:r>
      <w:r>
        <w:rPr>
          <w:rFonts w:hint="eastAsia" w:ascii="仿宋_GB2312" w:hAnsi="黑体" w:eastAsia="仿宋_GB2312" w:cs="仿宋_GB2312"/>
          <w:color w:val="auto"/>
          <w:sz w:val="32"/>
          <w:szCs w:val="32"/>
          <w:lang w:val="en-US" w:eastAsia="zh-CN"/>
        </w:rPr>
        <w:t>11.1</w:t>
      </w:r>
      <w:r>
        <w:rPr>
          <w:rFonts w:hint="eastAsia" w:ascii="仿宋_GB2312" w:hAnsi="黑体" w:eastAsia="仿宋_GB2312" w:cs="仿宋_GB2312"/>
          <w:sz w:val="32"/>
          <w:szCs w:val="32"/>
        </w:rPr>
        <w:t>万元，完成预算数的</w:t>
      </w:r>
      <w:r>
        <w:rPr>
          <w:rFonts w:hint="eastAsia" w:ascii="仿宋_GB2312" w:hAnsi="黑体" w:eastAsia="仿宋_GB2312" w:cs="仿宋_GB2312"/>
          <w:sz w:val="32"/>
          <w:szCs w:val="32"/>
          <w:lang w:val="en-US" w:eastAsia="zh-CN"/>
        </w:rPr>
        <w:t>99.64</w:t>
      </w:r>
      <w:r>
        <w:rPr>
          <w:rFonts w:hint="eastAsia" w:ascii="仿宋_GB2312" w:hAnsi="黑体" w:eastAsia="仿宋_GB2312" w:cs="仿宋_GB2312"/>
          <w:sz w:val="32"/>
          <w:szCs w:val="32"/>
        </w:rPr>
        <w:t>%。</w:t>
      </w:r>
      <w:r>
        <w:rPr>
          <w:rFonts w:hint="eastAsia" w:ascii="仿宋_GB2312" w:hAnsi="ˎ̥" w:eastAsia="仿宋_GB2312"/>
          <w:sz w:val="32"/>
          <w:szCs w:val="32"/>
        </w:rPr>
        <w:t>决算数小于预算数的主要原因：</w:t>
      </w:r>
      <w:r>
        <w:rPr>
          <w:rFonts w:hint="eastAsia" w:ascii="仿宋_GB2312" w:hAnsi="ˎ̥" w:eastAsia="仿宋_GB2312"/>
          <w:sz w:val="32"/>
          <w:szCs w:val="32"/>
          <w:lang w:val="en-US" w:eastAsia="zh-CN"/>
        </w:rPr>
        <w:t>一是</w:t>
      </w:r>
      <w:r>
        <w:rPr>
          <w:rFonts w:hint="eastAsia" w:ascii="仿宋_GB2312" w:hAnsi="ˎ̥" w:eastAsia="仿宋_GB2312"/>
          <w:sz w:val="32"/>
          <w:szCs w:val="32"/>
        </w:rPr>
        <w:t>住房公积金缴费基数变动</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二是退休人员增加，</w:t>
      </w:r>
      <w:r>
        <w:rPr>
          <w:rFonts w:hint="eastAsia" w:ascii="仿宋_GB2312" w:hAnsi="ˎ̥" w:eastAsia="仿宋_GB2312"/>
          <w:sz w:val="32"/>
          <w:szCs w:val="32"/>
        </w:rPr>
        <w:t>而使</w:t>
      </w:r>
      <w:r>
        <w:rPr>
          <w:rFonts w:hint="eastAsia" w:ascii="仿宋_GB2312" w:hAnsi="ˎ̥" w:eastAsia="仿宋_GB2312"/>
          <w:sz w:val="32"/>
          <w:szCs w:val="32"/>
          <w:lang w:val="en-US" w:eastAsia="zh-CN"/>
        </w:rPr>
        <w:t>公积金</w:t>
      </w:r>
      <w:r>
        <w:rPr>
          <w:rFonts w:hint="eastAsia" w:ascii="仿宋_GB2312" w:hAnsi="黑体" w:eastAsia="仿宋_GB2312" w:cs="仿宋_GB2312"/>
          <w:sz w:val="32"/>
          <w:szCs w:val="32"/>
        </w:rPr>
        <w:t>支出减少。</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（本部分支出决算数字可取自财决公开05表，年初预算数可取自各部门（单位）年初预算大本，</w:t>
      </w: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keepNext w:val="0"/>
        <w:keepLines w:val="0"/>
        <w:pageBreakBefore w:val="0"/>
        <w:tabs>
          <w:tab w:val="center" w:pos="4473"/>
        </w:tabs>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174.57</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153.35</w:t>
      </w:r>
      <w:r>
        <w:rPr>
          <w:rFonts w:hint="eastAsia" w:ascii="仿宋_GB2312" w:hAnsi="ˎ̥" w:eastAsia="仿宋_GB2312"/>
          <w:sz w:val="32"/>
          <w:szCs w:val="32"/>
        </w:rPr>
        <w:t>万元，主要包括：</w:t>
      </w:r>
      <w:r>
        <w:rPr>
          <w:rFonts w:hint="eastAsia" w:ascii="仿宋_GB2312" w:hAnsi="ˎ̥" w:eastAsia="仿宋_GB2312"/>
          <w:sz w:val="32"/>
          <w:szCs w:val="32"/>
          <w:lang w:eastAsia="zh-CN"/>
        </w:rPr>
        <w:t>工资福利支出中的</w:t>
      </w:r>
      <w:r>
        <w:rPr>
          <w:rFonts w:hint="eastAsia" w:ascii="仿宋_GB2312" w:hAnsi="ˎ̥" w:eastAsia="仿宋_GB2312"/>
          <w:sz w:val="32"/>
          <w:szCs w:val="32"/>
        </w:rPr>
        <w:t>基本工资、津贴补贴、奖金、绩效工资、</w:t>
      </w:r>
      <w:r>
        <w:rPr>
          <w:rFonts w:hint="eastAsia" w:ascii="仿宋_GB2312" w:hAnsi="ˎ̥" w:eastAsia="仿宋_GB2312"/>
          <w:sz w:val="32"/>
          <w:szCs w:val="32"/>
          <w:lang w:eastAsia="zh-CN"/>
        </w:rPr>
        <w:t>机关事业单位基本养老保险缴费、职工基本医疗保险缴费、公务员医疗补助缴费、其他社会保障缴费、住房公积金、</w:t>
      </w:r>
      <w:r>
        <w:rPr>
          <w:rFonts w:hint="eastAsia" w:ascii="仿宋_GB2312" w:hAnsi="ˎ̥" w:eastAsia="仿宋_GB2312"/>
          <w:sz w:val="32"/>
          <w:szCs w:val="32"/>
        </w:rPr>
        <w:t>其他工资福利支出</w:t>
      </w:r>
      <w:r>
        <w:rPr>
          <w:rFonts w:hint="eastAsia" w:ascii="仿宋_GB2312" w:hAnsi="ˎ̥" w:eastAsia="仿宋_GB2312"/>
          <w:sz w:val="32"/>
          <w:szCs w:val="32"/>
          <w:lang w:eastAsia="zh-CN"/>
        </w:rPr>
        <w:t>、对个人和家庭的补助、</w:t>
      </w:r>
      <w:r>
        <w:rPr>
          <w:rFonts w:hint="eastAsia" w:ascii="仿宋_GB2312" w:hAnsi="ˎ̥" w:eastAsia="仿宋_GB2312"/>
          <w:sz w:val="32"/>
          <w:szCs w:val="32"/>
          <w:lang w:val="en-US" w:eastAsia="zh-CN"/>
        </w:rPr>
        <w:t>救济费、</w:t>
      </w:r>
      <w:r>
        <w:rPr>
          <w:rFonts w:hint="eastAsia" w:ascii="仿宋_GB2312" w:hAnsi="ˎ̥" w:eastAsia="仿宋_GB2312"/>
          <w:sz w:val="32"/>
          <w:szCs w:val="32"/>
          <w:lang w:eastAsia="zh-CN"/>
        </w:rPr>
        <w:t>奖励金、其他对个人和家庭的补助</w:t>
      </w:r>
      <w:r>
        <w:rPr>
          <w:rFonts w:hint="eastAsia" w:ascii="仿宋_GB2312" w:hAnsi="ˎ̥" w:eastAsia="仿宋_GB2312"/>
          <w:sz w:val="32"/>
          <w:szCs w:val="32"/>
        </w:rPr>
        <w:t>。公用经费</w:t>
      </w:r>
      <w:r>
        <w:rPr>
          <w:rFonts w:hint="eastAsia" w:ascii="仿宋_GB2312" w:hAnsi="ˎ̥" w:eastAsia="仿宋_GB2312"/>
          <w:sz w:val="32"/>
          <w:szCs w:val="32"/>
          <w:lang w:val="en-US" w:eastAsia="zh-CN"/>
        </w:rPr>
        <w:t>21.22</w:t>
      </w:r>
      <w:r>
        <w:rPr>
          <w:rFonts w:hint="eastAsia" w:ascii="仿宋_GB2312" w:hAnsi="ˎ̥" w:eastAsia="仿宋_GB2312"/>
          <w:sz w:val="32"/>
          <w:szCs w:val="32"/>
        </w:rPr>
        <w:t>万元，主要包括：</w:t>
      </w:r>
      <w:r>
        <w:rPr>
          <w:rFonts w:hint="eastAsia" w:ascii="仿宋_GB2312" w:hAnsi="ˎ̥" w:eastAsia="仿宋_GB2312"/>
          <w:sz w:val="32"/>
          <w:szCs w:val="32"/>
          <w:lang w:eastAsia="zh-CN"/>
        </w:rPr>
        <w:t>商品和服务支出中的</w:t>
      </w:r>
      <w:r>
        <w:rPr>
          <w:rFonts w:hint="eastAsia" w:ascii="仿宋_GB2312" w:hAnsi="ˎ̥" w:eastAsia="仿宋_GB2312"/>
          <w:sz w:val="32"/>
          <w:szCs w:val="32"/>
        </w:rPr>
        <w:t>办公费、印刷费、邮电费、差旅费、维修（护）费、劳务费、工会经费、公务用车运行维护费、其他交通费用、其他商品和服务支出</w:t>
      </w:r>
      <w:r>
        <w:rPr>
          <w:rFonts w:hint="eastAsia" w:ascii="仿宋_GB2312" w:hAnsi="ˎ̥" w:eastAsia="仿宋_GB2312"/>
          <w:sz w:val="32"/>
          <w:szCs w:val="32"/>
          <w:lang w:eastAsia="zh-CN"/>
        </w:rPr>
        <w:t>。</w:t>
      </w:r>
    </w:p>
    <w:p>
      <w:pPr>
        <w:keepNext w:val="0"/>
        <w:keepLines w:val="0"/>
        <w:pageBreakBefore w:val="0"/>
        <w:tabs>
          <w:tab w:val="center" w:pos="4473"/>
        </w:tabs>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val="en-US" w:eastAsia="zh-CN"/>
        </w:rPr>
        <w:t>（上述数字可取自财决公开06表，</w:t>
      </w:r>
      <w:r>
        <w:rPr>
          <w:rFonts w:hint="eastAsia" w:ascii="仿宋_GB2312" w:hAnsi="ˎ̥" w:eastAsia="仿宋_GB2312"/>
          <w:sz w:val="32"/>
          <w:szCs w:val="32"/>
        </w:rPr>
        <w:t>各部门（单位）根据实际支出情况，选列相应支出经济分类</w:t>
      </w:r>
      <w:r>
        <w:rPr>
          <w:rFonts w:hint="eastAsia" w:ascii="仿宋_GB2312" w:hAnsi="ˎ̥" w:eastAsia="仿宋_GB2312"/>
          <w:sz w:val="32"/>
          <w:szCs w:val="32"/>
          <w:lang w:eastAsia="zh-CN"/>
        </w:rPr>
        <w:t>。</w:t>
      </w:r>
      <w:r>
        <w:rPr>
          <w:rFonts w:hint="eastAsia" w:ascii="仿宋_GB2312" w:hAnsi="ˎ̥" w:eastAsia="仿宋_GB2312"/>
          <w:sz w:val="32"/>
          <w:szCs w:val="32"/>
        </w:rPr>
        <w:t>）</w:t>
      </w:r>
    </w:p>
    <w:p>
      <w:pPr>
        <w:keepNext w:val="0"/>
        <w:keepLines w:val="0"/>
        <w:pageBreakBefore w:val="0"/>
        <w:tabs>
          <w:tab w:val="center" w:pos="4473"/>
        </w:tabs>
        <w:kinsoku/>
        <w:wordWrap/>
        <w:overflowPunct/>
        <w:topLinePunct w:val="0"/>
        <w:autoSpaceDE/>
        <w:autoSpaceDN/>
        <w:bidi w:val="0"/>
        <w:adjustRightInd/>
        <w:snapToGrid/>
        <w:spacing w:line="620" w:lineRule="exact"/>
        <w:ind w:firstLine="627" w:firstLineChars="196"/>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持平</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两年均无预算安排</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tabs>
          <w:tab w:val="center" w:pos="4473"/>
        </w:tabs>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2021年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公开07表；2020年决算相关数据取自财决09表《</w:t>
      </w:r>
      <w:r>
        <w:rPr>
          <w:rFonts w:hint="eastAsia" w:ascii="仿宋_GB2312" w:hAnsi="ˎ̥" w:eastAsia="仿宋_GB2312" w:cs="Times New Roman"/>
          <w:sz w:val="32"/>
          <w:szCs w:val="32"/>
        </w:rPr>
        <w:t>政府性基金预算财政拨款收入支出决算表</w:t>
      </w:r>
      <w:r>
        <w:rPr>
          <w:rFonts w:hint="eastAsia" w:ascii="仿宋_GB2312" w:hAnsi="ˎ̥" w:eastAsia="仿宋_GB2312" w:cs="Times New Roman"/>
          <w:bCs w:val="0"/>
          <w:sz w:val="32"/>
          <w:szCs w:val="32"/>
          <w:lang w:val="en-US" w:eastAsia="zh-CN"/>
        </w:rPr>
        <w:t>》</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keepNext w:val="0"/>
        <w:keepLines w:val="0"/>
        <w:pageBreakBefore w:val="0"/>
        <w:tabs>
          <w:tab w:val="center" w:pos="4473"/>
        </w:tabs>
        <w:kinsoku/>
        <w:wordWrap/>
        <w:overflowPunct/>
        <w:topLinePunct w:val="0"/>
        <w:autoSpaceDE/>
        <w:autoSpaceDN/>
        <w:bidi w:val="0"/>
        <w:adjustRightInd/>
        <w:snapToGrid/>
        <w:spacing w:line="620" w:lineRule="exact"/>
        <w:ind w:firstLine="627" w:firstLineChars="196"/>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持平</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均无预算安排</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tabs>
          <w:tab w:val="center" w:pos="4473"/>
        </w:tabs>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cs="Times New Roman"/>
          <w:bCs w:val="0"/>
          <w:sz w:val="32"/>
          <w:szCs w:val="32"/>
          <w:lang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2021年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公开08表</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firstLine="627" w:firstLineChars="196"/>
        <w:textAlignment w:val="auto"/>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3.5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2.22</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63.43</w:t>
      </w:r>
      <w:r>
        <w:rPr>
          <w:rFonts w:hint="eastAsia" w:ascii="仿宋_GB2312" w:hAnsi="ˎ̥" w:eastAsia="仿宋_GB2312"/>
          <w:sz w:val="32"/>
          <w:szCs w:val="32"/>
        </w:rPr>
        <w:t>%</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2.22</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%。具体情况如下：</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比预算数增加（减少）0万元，增长（下降）0%。主要原因是今年与去年都无因公出国（境费）支出。</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0" w:firstLineChars="0"/>
        <w:textAlignment w:val="auto"/>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w:t>
      </w:r>
      <w:r>
        <w:rPr>
          <w:rFonts w:hint="eastAsia" w:ascii="仿宋_GB2312" w:hAnsi="ˎ̥" w:eastAsia="仿宋_GB2312"/>
          <w:b/>
          <w:sz w:val="32"/>
          <w:szCs w:val="32"/>
          <w:lang w:eastAsia="zh-CN"/>
        </w:rPr>
        <w:t>维护</w:t>
      </w:r>
      <w:r>
        <w:rPr>
          <w:rFonts w:hint="eastAsia" w:ascii="仿宋_GB2312" w:hAnsi="ˎ̥" w:eastAsia="仿宋_GB2312"/>
          <w:b/>
          <w:sz w:val="32"/>
          <w:szCs w:val="32"/>
        </w:rPr>
        <w:t>费支出</w:t>
      </w:r>
      <w:r>
        <w:rPr>
          <w:rFonts w:hint="eastAsia" w:ascii="仿宋_GB2312" w:hAnsi="ˎ̥" w:eastAsia="仿宋_GB2312"/>
          <w:sz w:val="32"/>
          <w:szCs w:val="32"/>
          <w:lang w:val="en-US" w:eastAsia="zh-CN"/>
        </w:rPr>
        <w:t>2.22</w:t>
      </w:r>
      <w:r>
        <w:rPr>
          <w:rFonts w:hint="eastAsia" w:ascii="仿宋_GB2312" w:hAnsi="ˎ̥" w:eastAsia="仿宋_GB2312"/>
          <w:sz w:val="32"/>
          <w:szCs w:val="32"/>
        </w:rPr>
        <w:t>万元。其中：</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1</w:t>
      </w:r>
      <w:r>
        <w:rPr>
          <w:rFonts w:hint="eastAsia" w:ascii="仿宋_GB2312" w:hAnsi="ˎ̥" w:eastAsia="仿宋_GB2312"/>
          <w:sz w:val="32"/>
          <w:szCs w:val="32"/>
        </w:rPr>
        <w:t>辆。</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2.22</w:t>
      </w:r>
      <w:r>
        <w:rPr>
          <w:rFonts w:hint="eastAsia" w:ascii="仿宋_GB2312" w:hAnsi="ˎ̥" w:eastAsia="仿宋_GB2312"/>
          <w:sz w:val="32"/>
          <w:szCs w:val="32"/>
        </w:rPr>
        <w:t>万元，主要用于单位公务用车的日常公务</w:t>
      </w:r>
      <w:r>
        <w:rPr>
          <w:rFonts w:hint="eastAsia" w:ascii="仿宋_GB2312" w:hAnsi="ˎ̥" w:eastAsia="仿宋_GB2312"/>
          <w:sz w:val="32"/>
          <w:szCs w:val="32"/>
          <w:lang w:val="en-US" w:eastAsia="zh-CN"/>
        </w:rPr>
        <w:t>使用的车辆运行维护费支出，</w:t>
      </w:r>
      <w:r>
        <w:rPr>
          <w:rFonts w:hint="eastAsia" w:ascii="仿宋_GB2312" w:hAnsi="ˎ̥" w:eastAsia="仿宋_GB2312"/>
          <w:sz w:val="32"/>
          <w:szCs w:val="32"/>
        </w:rPr>
        <w:t>包括油料消耗及日常保养、保险购买等费用。</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bCs/>
          <w:sz w:val="32"/>
          <w:szCs w:val="32"/>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比预算数减少1.28万元，下降36.57%。主要原因是</w:t>
      </w:r>
      <w:r>
        <w:rPr>
          <w:rFonts w:hint="eastAsia" w:ascii="仿宋_GB2312" w:hAnsi="ˎ̥" w:eastAsia="仿宋_GB2312"/>
          <w:sz w:val="32"/>
          <w:szCs w:val="32"/>
        </w:rPr>
        <w:t>节约使用公务车辆运行维护费</w:t>
      </w:r>
      <w:r>
        <w:rPr>
          <w:rFonts w:hint="eastAsia" w:ascii="仿宋_GB2312" w:hAnsi="ˎ̥" w:eastAsia="仿宋_GB2312"/>
          <w:sz w:val="32"/>
          <w:szCs w:val="32"/>
          <w:lang w:eastAsia="zh-CN"/>
        </w:rPr>
        <w:t>，</w:t>
      </w:r>
      <w:r>
        <w:rPr>
          <w:rFonts w:hint="eastAsia" w:ascii="仿宋_GB2312" w:hAnsi="ˎ̥" w:eastAsia="仿宋_GB2312"/>
          <w:sz w:val="32"/>
          <w:szCs w:val="32"/>
        </w:rPr>
        <w:t>减少车辆燃料费等。</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0" w:firstLineChars="0"/>
        <w:textAlignment w:val="auto"/>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3" w:firstLineChars="200"/>
        <w:textAlignment w:val="auto"/>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r>
        <w:rPr>
          <w:rFonts w:hint="eastAsia" w:ascii="仿宋_GB2312" w:hAnsi="ˎ̥" w:eastAsia="仿宋_GB2312"/>
          <w:sz w:val="32"/>
          <w:szCs w:val="32"/>
        </w:rPr>
        <w:t>主要</w:t>
      </w:r>
      <w:r>
        <w:rPr>
          <w:rFonts w:hint="eastAsia" w:ascii="仿宋_GB2312" w:hAnsi="ˎ̥" w:eastAsia="仿宋_GB2312"/>
          <w:sz w:val="32"/>
          <w:szCs w:val="32"/>
          <w:lang w:val="en-US" w:eastAsia="zh-CN"/>
        </w:rPr>
        <w:t>原因是</w:t>
      </w:r>
      <w:r>
        <w:rPr>
          <w:rFonts w:hint="eastAsia" w:ascii="仿宋_GB2312" w:hAnsi="ˎ̥" w:eastAsia="仿宋_GB2312"/>
          <w:sz w:val="32"/>
          <w:szCs w:val="32"/>
        </w:rPr>
        <w:t>无预算安排。</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公务接待费支出决算数比预算数增加（减少）0万元，增长（下降）0%。主要原因是两年均无预算安排。</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（2021年度“三公”经费预算数、决算数可取自附件财决公开09表，2021年的出国团组数、出国人次，公务用车购置数、公务用车保有量，接待团组数、接待人次可取自部门决算报表F03表《机构运行信息表》）。</w:t>
      </w:r>
    </w:p>
    <w:p>
      <w:pPr>
        <w:keepNext w:val="0"/>
        <w:keepLines w:val="0"/>
        <w:pageBreakBefore w:val="0"/>
        <w:kinsoku/>
        <w:wordWrap/>
        <w:overflowPunct/>
        <w:topLinePunct w:val="0"/>
        <w:autoSpaceDE/>
        <w:autoSpaceDN/>
        <w:bidi w:val="0"/>
        <w:adjustRightInd/>
        <w:snapToGrid/>
        <w:spacing w:line="620" w:lineRule="exact"/>
        <w:ind w:firstLine="627" w:firstLineChars="196"/>
        <w:textAlignment w:val="auto"/>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公开10表</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27" w:firstLineChars="196"/>
        <w:textAlignment w:val="auto"/>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公开11表</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（一）</w:t>
      </w:r>
      <w:r>
        <w:rPr>
          <w:rFonts w:hint="eastAsia" w:ascii="楷体" w:hAnsi="楷体" w:eastAsia="楷体" w:cs="楷体"/>
          <w:b/>
          <w:color w:val="auto"/>
          <w:sz w:val="32"/>
          <w:szCs w:val="32"/>
        </w:rPr>
        <w:t>绩效管理工作开展情况。</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根据财政预算管理要求，我单位组织对</w:t>
      </w:r>
      <w:r>
        <w:rPr>
          <w:rFonts w:hint="eastAsia" w:ascii="仿宋_GB2312" w:eastAsia="仿宋_GB2312"/>
          <w:color w:val="auto"/>
          <w:sz w:val="32"/>
          <w:szCs w:val="32"/>
          <w:lang w:eastAsia="zh-CN"/>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年度</w:t>
      </w:r>
      <w:r>
        <w:rPr>
          <w:rFonts w:hint="eastAsia" w:ascii="仿宋_GB2312" w:eastAsia="仿宋_GB2312"/>
          <w:color w:val="auto"/>
          <w:sz w:val="32"/>
          <w:szCs w:val="32"/>
        </w:rPr>
        <w:t>一般公共预算项目支出全面开展绩效自评。自评项目</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个，共涉及资金</w:t>
      </w:r>
      <w:r>
        <w:rPr>
          <w:rFonts w:hint="eastAsia" w:ascii="仿宋_GB2312" w:eastAsia="仿宋_GB2312"/>
          <w:color w:val="auto"/>
          <w:sz w:val="32"/>
          <w:szCs w:val="32"/>
          <w:lang w:val="en-US" w:eastAsia="zh-CN"/>
        </w:rPr>
        <w:t>547.45</w:t>
      </w:r>
      <w:r>
        <w:rPr>
          <w:rFonts w:hint="eastAsia" w:ascii="仿宋_GB2312" w:eastAsia="仿宋_GB2312"/>
          <w:color w:val="auto"/>
          <w:sz w:val="32"/>
          <w:szCs w:val="32"/>
        </w:rPr>
        <w:t>万元，自评覆盖率达到</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%。从评价情况来看，</w:t>
      </w:r>
      <w:r>
        <w:rPr>
          <w:rFonts w:hint="eastAsia" w:ascii="仿宋_GB2312" w:hAnsi="ˎ̥" w:eastAsia="仿宋_GB2312"/>
          <w:color w:val="auto"/>
          <w:kern w:val="2"/>
          <w:sz w:val="32"/>
          <w:szCs w:val="32"/>
        </w:rPr>
        <w:t>整体支出能够按计划执行，产生较好地经济效益和公共服务效益，评价结果均为优良以上。</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color w:val="auto"/>
          <w:sz w:val="32"/>
          <w:szCs w:val="32"/>
        </w:rPr>
      </w:pPr>
      <w:r>
        <w:rPr>
          <w:rFonts w:hint="eastAsia" w:ascii="仿宋_GB2312" w:eastAsia="仿宋_GB2312"/>
          <w:color w:val="auto"/>
          <w:sz w:val="32"/>
          <w:szCs w:val="32"/>
        </w:rPr>
        <w:t>组织对“干部职工健康体检费”等</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个项目</w:t>
      </w:r>
      <w:r>
        <w:rPr>
          <w:rFonts w:hint="eastAsia" w:ascii="仿宋_GB2312" w:eastAsia="仿宋_GB2312"/>
          <w:color w:val="auto"/>
          <w:sz w:val="32"/>
          <w:szCs w:val="32"/>
          <w:lang w:eastAsia="zh-CN"/>
        </w:rPr>
        <w:t>开展了部门</w:t>
      </w:r>
      <w:r>
        <w:rPr>
          <w:rFonts w:hint="eastAsia" w:ascii="仿宋_GB2312" w:eastAsia="仿宋_GB2312"/>
          <w:color w:val="auto"/>
          <w:sz w:val="32"/>
          <w:szCs w:val="32"/>
        </w:rPr>
        <w:t>评价，涉及资金</w:t>
      </w:r>
      <w:r>
        <w:rPr>
          <w:rFonts w:hint="eastAsia" w:ascii="仿宋_GB2312" w:eastAsia="仿宋_GB2312"/>
          <w:color w:val="auto"/>
          <w:sz w:val="32"/>
          <w:szCs w:val="32"/>
          <w:lang w:val="en-US" w:eastAsia="zh-CN"/>
        </w:rPr>
        <w:t>280.00</w:t>
      </w:r>
      <w:r>
        <w:rPr>
          <w:rFonts w:hint="eastAsia" w:ascii="仿宋_GB2312" w:eastAsia="仿宋_GB2312"/>
          <w:color w:val="auto"/>
          <w:sz w:val="32"/>
          <w:szCs w:val="32"/>
        </w:rPr>
        <w:t>万元。从评价情况来看，</w:t>
      </w:r>
      <w:r>
        <w:rPr>
          <w:rFonts w:hint="eastAsia" w:ascii="仿宋_GB2312" w:hAnsi="ˎ̥" w:eastAsia="仿宋_GB2312"/>
          <w:color w:val="auto"/>
          <w:sz w:val="32"/>
          <w:szCs w:val="32"/>
        </w:rPr>
        <w:t>项目建设均能够按计划执行，项目预算经费基本能够满足项目需求，项目建设成果能够达到预定目标，产生较好地经济效益和公共服务效益，项目整体评价结果均为优良以上。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ˎ̥" w:eastAsia="仿宋_GB2312"/>
          <w:sz w:val="32"/>
          <w:szCs w:val="32"/>
        </w:rPr>
      </w:pPr>
      <w:r>
        <w:rPr>
          <w:rFonts w:hint="eastAsia" w:ascii="仿宋_GB2312" w:eastAsia="仿宋_GB2312"/>
          <w:sz w:val="32"/>
          <w:szCs w:val="32"/>
        </w:rPr>
        <w:t>开展整体支出绩效评价，涉及资金</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2021年因疫情影响，加上工作经费紧张，所以未开展</w:t>
      </w:r>
      <w:r>
        <w:rPr>
          <w:rFonts w:hint="eastAsia" w:ascii="仿宋_GB2312" w:eastAsia="仿宋_GB2312"/>
          <w:sz w:val="32"/>
          <w:szCs w:val="32"/>
        </w:rPr>
        <w:t>整体支出绩效评价</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default" w:ascii="楷体" w:hAnsi="楷体" w:eastAsia="楷体" w:cs="楷体"/>
          <w:b/>
          <w:color w:val="auto"/>
          <w:sz w:val="32"/>
          <w:szCs w:val="32"/>
          <w:lang w:val="en-US" w:eastAsia="zh-CN"/>
        </w:rPr>
      </w:pPr>
      <w:r>
        <w:rPr>
          <w:rFonts w:hint="eastAsia" w:ascii="楷体" w:hAnsi="楷体" w:eastAsia="楷体" w:cs="楷体"/>
          <w:b/>
          <w:color w:val="auto"/>
          <w:sz w:val="32"/>
          <w:szCs w:val="32"/>
          <w:lang w:eastAsia="zh-CN"/>
        </w:rPr>
        <w:t>（二）</w:t>
      </w:r>
      <w:r>
        <w:rPr>
          <w:rFonts w:hint="eastAsia" w:ascii="楷体" w:hAnsi="楷体" w:eastAsia="楷体" w:cs="楷体"/>
          <w:b/>
          <w:color w:val="auto"/>
          <w:sz w:val="32"/>
          <w:szCs w:val="32"/>
        </w:rPr>
        <w:t>部门决算中项目绩效自评结果。</w:t>
      </w: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lang w:val="en-US" w:eastAsia="zh-CN"/>
        </w:rPr>
        <w:t>无</w:t>
      </w:r>
      <w:r>
        <w:rPr>
          <w:rFonts w:hint="eastAsia" w:ascii="楷体" w:hAnsi="楷体" w:eastAsia="楷体" w:cs="楷体"/>
          <w:b/>
          <w:color w:val="auto"/>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sz w:val="32"/>
          <w:szCs w:val="32"/>
          <w:lang w:eastAsia="zh-CN"/>
        </w:rPr>
        <w:t>（三）</w:t>
      </w: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w:t>
      </w:r>
      <w:r>
        <w:rPr>
          <w:rFonts w:hint="eastAsia" w:ascii="楷体" w:hAnsi="楷体" w:eastAsia="楷体" w:cs="楷体"/>
          <w:b/>
          <w:bCs w:val="0"/>
          <w:sz w:val="32"/>
          <w:szCs w:val="32"/>
          <w:lang w:val="en-US" w:eastAsia="zh-CN"/>
        </w:rPr>
        <w:t>无</w:t>
      </w:r>
      <w:r>
        <w:rPr>
          <w:rFonts w:hint="eastAsia" w:ascii="楷体" w:hAnsi="楷体" w:eastAsia="楷体" w:cs="楷体"/>
          <w:b/>
          <w:bCs w:val="0"/>
          <w:sz w:val="32"/>
          <w:szCs w:val="32"/>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color w:val="auto"/>
          <w:sz w:val="32"/>
          <w:szCs w:val="32"/>
          <w:u w:val="none"/>
        </w:rPr>
      </w:pPr>
      <w:r>
        <w:rPr>
          <w:rFonts w:hint="eastAsia" w:ascii="楷体" w:hAnsi="楷体" w:eastAsia="楷体" w:cs="楷体"/>
          <w:b/>
          <w:color w:val="auto"/>
          <w:sz w:val="32"/>
          <w:szCs w:val="32"/>
          <w:lang w:eastAsia="zh-CN"/>
        </w:rPr>
        <w:t>（四）</w:t>
      </w:r>
      <w:r>
        <w:rPr>
          <w:rFonts w:hint="eastAsia" w:ascii="楷体" w:hAnsi="楷体" w:eastAsia="楷体" w:cs="楷体"/>
          <w:b/>
          <w:color w:val="auto"/>
          <w:sz w:val="32"/>
          <w:szCs w:val="32"/>
          <w:lang w:val="en-US"/>
        </w:rPr>
        <w:t>部门评价项目绩效评价结果</w:t>
      </w:r>
      <w:r>
        <w:rPr>
          <w:rFonts w:hint="eastAsia" w:ascii="楷体" w:hAnsi="楷体" w:eastAsia="楷体" w:cs="楷体"/>
          <w:b/>
          <w:color w:val="auto"/>
          <w:sz w:val="32"/>
          <w:szCs w:val="32"/>
          <w:lang w:val="en-US" w:eastAsia="zh-CN"/>
        </w:rPr>
        <w:t>（无）</w:t>
      </w:r>
      <w:r>
        <w:rPr>
          <w:rFonts w:hint="eastAsia" w:ascii="楷体" w:hAnsi="楷体" w:eastAsia="楷体" w:cs="楷体"/>
          <w:b/>
          <w:color w:val="auto"/>
          <w:sz w:val="32"/>
          <w:szCs w:val="32"/>
          <w:u w:val="none"/>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default" w:ascii="楷体" w:hAnsi="楷体" w:eastAsia="楷体" w:cs="楷体"/>
          <w:b/>
          <w:color w:val="auto"/>
          <w:sz w:val="32"/>
          <w:szCs w:val="32"/>
          <w:u w:val="none"/>
          <w:lang w:val="en-US" w:eastAsia="zh-CN"/>
        </w:rPr>
      </w:pPr>
      <w:r>
        <w:rPr>
          <w:rFonts w:hint="eastAsia" w:ascii="楷体" w:hAnsi="楷体" w:eastAsia="楷体" w:cs="楷体"/>
          <w:b/>
          <w:color w:val="auto"/>
          <w:sz w:val="32"/>
          <w:szCs w:val="32"/>
          <w:u w:val="none"/>
          <w:lang w:eastAsia="zh-CN"/>
        </w:rPr>
        <w:t>（</w:t>
      </w:r>
      <w:r>
        <w:rPr>
          <w:rFonts w:hint="eastAsia" w:ascii="楷体" w:hAnsi="楷体" w:eastAsia="楷体" w:cs="楷体"/>
          <w:b/>
          <w:color w:val="auto"/>
          <w:sz w:val="32"/>
          <w:szCs w:val="32"/>
          <w:u w:val="none"/>
          <w:lang w:val="en-US" w:eastAsia="zh-CN"/>
        </w:rPr>
        <w:t>五）重点项目绩效</w:t>
      </w:r>
      <w:r>
        <w:rPr>
          <w:rFonts w:hint="eastAsia" w:ascii="楷体" w:hAnsi="楷体" w:eastAsia="楷体" w:cs="楷体"/>
          <w:b/>
          <w:color w:val="auto"/>
          <w:sz w:val="32"/>
          <w:szCs w:val="32"/>
          <w:lang w:val="en-US"/>
        </w:rPr>
        <w:t>评价结果</w:t>
      </w:r>
      <w:r>
        <w:rPr>
          <w:rFonts w:hint="eastAsia" w:ascii="楷体" w:hAnsi="楷体" w:eastAsia="楷体" w:cs="楷体"/>
          <w:b/>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sz w:val="32"/>
          <w:szCs w:val="32"/>
        </w:rPr>
      </w:pPr>
      <w:bookmarkStart w:id="77" w:name="_Toc23598_WPSOffice_Level2"/>
      <w:bookmarkStart w:id="78" w:name="_Toc15262_WPSOffice_Level2"/>
      <w:bookmarkStart w:id="79" w:name="_Toc18325_WPSOffice_Level2"/>
      <w:bookmarkStart w:id="80" w:name="_Toc5978_WPSOffice_Level2"/>
      <w:bookmarkStart w:id="81" w:name="_Toc15565_WPSOffice_Level2"/>
      <w:bookmarkStart w:id="82" w:name="_Toc32639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77"/>
      <w:bookmarkEnd w:id="78"/>
      <w:bookmarkEnd w:id="79"/>
      <w:bookmarkEnd w:id="80"/>
      <w:bookmarkEnd w:id="81"/>
      <w:bookmarkEnd w:id="82"/>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区人社局</w:t>
      </w:r>
      <w:r>
        <w:rPr>
          <w:rFonts w:hint="eastAsia" w:ascii="仿宋_GB2312" w:hAnsi="ˎ̥" w:eastAsia="仿宋_GB2312"/>
          <w:sz w:val="32"/>
          <w:szCs w:val="32"/>
        </w:rPr>
        <w:t>（</w:t>
      </w:r>
      <w:r>
        <w:rPr>
          <w:rFonts w:hint="eastAsia" w:ascii="仿宋_GB2312" w:hAnsi="ˎ̥" w:eastAsia="仿宋_GB2312"/>
          <w:sz w:val="32"/>
          <w:szCs w:val="32"/>
          <w:lang w:val="en-US" w:eastAsia="zh-CN"/>
        </w:rPr>
        <w:t>本级</w:t>
      </w:r>
      <w:r>
        <w:rPr>
          <w:rFonts w:hint="eastAsia" w:ascii="仿宋_GB2312" w:hAnsi="ˎ̥" w:eastAsia="仿宋_GB2312"/>
          <w:sz w:val="32"/>
          <w:szCs w:val="32"/>
        </w:rPr>
        <w:t>）单位机关运行经费</w:t>
      </w:r>
      <w:r>
        <w:rPr>
          <w:rFonts w:hint="eastAsia" w:ascii="仿宋_GB2312" w:hAnsi="ˎ̥" w:eastAsia="仿宋_GB2312"/>
          <w:sz w:val="32"/>
          <w:szCs w:val="32"/>
          <w:lang w:val="en-US" w:eastAsia="zh-CN"/>
        </w:rPr>
        <w:t>21.22</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w:t>
      </w:r>
      <w:r>
        <w:rPr>
          <w:rFonts w:hint="eastAsia" w:ascii="仿宋_GB2312" w:hAnsi="ˎ̥" w:eastAsia="仿宋_GB2312"/>
          <w:sz w:val="32"/>
          <w:szCs w:val="32"/>
        </w:rPr>
        <w:t>减少</w:t>
      </w:r>
      <w:r>
        <w:rPr>
          <w:rFonts w:hint="eastAsia" w:ascii="仿宋_GB2312" w:hAnsi="ˎ̥" w:eastAsia="仿宋_GB2312"/>
          <w:sz w:val="32"/>
          <w:szCs w:val="32"/>
          <w:lang w:val="en-US" w:eastAsia="zh-CN"/>
        </w:rPr>
        <w:t>2.53</w:t>
      </w:r>
      <w:r>
        <w:rPr>
          <w:rFonts w:hint="eastAsia" w:ascii="仿宋_GB2312" w:hAnsi="ˎ̥" w:eastAsia="仿宋_GB2312"/>
          <w:sz w:val="32"/>
          <w:szCs w:val="32"/>
        </w:rPr>
        <w:t>万元，降低</w:t>
      </w:r>
      <w:r>
        <w:rPr>
          <w:rFonts w:hint="eastAsia" w:ascii="仿宋_GB2312" w:hAnsi="ˎ̥" w:eastAsia="仿宋_GB2312"/>
          <w:sz w:val="32"/>
          <w:szCs w:val="32"/>
          <w:lang w:val="en-US" w:eastAsia="zh-CN"/>
        </w:rPr>
        <w:t>10.65</w:t>
      </w:r>
      <w:r>
        <w:rPr>
          <w:rFonts w:hint="eastAsia" w:ascii="仿宋_GB2312" w:hAnsi="ˎ̥" w:eastAsia="仿宋_GB2312"/>
          <w:sz w:val="32"/>
          <w:szCs w:val="32"/>
        </w:rPr>
        <w:t>%。主要原因是：各下属</w:t>
      </w:r>
      <w:r>
        <w:rPr>
          <w:rFonts w:hint="eastAsia" w:ascii="仿宋_GB2312" w:hAnsi="ˎ̥" w:eastAsia="仿宋_GB2312"/>
          <w:sz w:val="32"/>
          <w:szCs w:val="32"/>
          <w:lang w:val="en-US" w:eastAsia="zh-CN"/>
        </w:rPr>
        <w:t>行政</w:t>
      </w:r>
      <w:r>
        <w:rPr>
          <w:rFonts w:hint="eastAsia" w:ascii="仿宋_GB2312" w:hAnsi="ˎ̥" w:eastAsia="仿宋_GB2312"/>
          <w:sz w:val="32"/>
          <w:szCs w:val="32"/>
        </w:rPr>
        <w:t>单位</w:t>
      </w:r>
      <w:r>
        <w:rPr>
          <w:rFonts w:hint="eastAsia" w:ascii="仿宋_GB2312" w:hAnsi="ˎ̥" w:eastAsia="仿宋_GB2312"/>
          <w:sz w:val="32"/>
          <w:szCs w:val="32"/>
          <w:lang w:val="en-US" w:eastAsia="zh-CN"/>
        </w:rPr>
        <w:t>和参照公务员法管理事业单位的机关运行经费</w:t>
      </w:r>
      <w:r>
        <w:rPr>
          <w:rFonts w:hint="eastAsia" w:ascii="仿宋_GB2312" w:hAnsi="ˎ̥" w:eastAsia="仿宋_GB2312"/>
          <w:sz w:val="32"/>
          <w:szCs w:val="32"/>
        </w:rPr>
        <w:t>支出</w:t>
      </w:r>
      <w:r>
        <w:rPr>
          <w:rFonts w:hint="eastAsia" w:ascii="仿宋_GB2312" w:hAnsi="ˎ̥" w:eastAsia="仿宋_GB2312"/>
          <w:sz w:val="32"/>
          <w:szCs w:val="32"/>
          <w:lang w:val="en-US" w:eastAsia="zh-CN"/>
        </w:rPr>
        <w:t>减少</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机关运行经费预算数字可取自部门决算报表财决01-1表《财政拨款收入支出决算总表》，年初预算数-一般公共预算财政拨款-公用经费，注意部门汇总公开决算时，因事业单位没有机关运行经费支出，故部门汇总的机关运行经费预算数应为部门所属的各行政单位或参公单位的汇总数；决算数字可取自2021年度部门决算报表F03表《机构运行信息表》“机关运行经费”栏。）</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sz w:val="32"/>
          <w:szCs w:val="32"/>
        </w:rPr>
      </w:pPr>
      <w:bookmarkStart w:id="83" w:name="_Toc3131_WPSOffice_Level2"/>
      <w:bookmarkStart w:id="84" w:name="_Toc23966_WPSOffice_Level2"/>
      <w:bookmarkStart w:id="85" w:name="_Toc25333_WPSOffice_Level2"/>
      <w:bookmarkStart w:id="86" w:name="_Toc13084_WPSOffice_Level2"/>
      <w:bookmarkStart w:id="87" w:name="_Toc30383_WPSOffice_Level2"/>
      <w:bookmarkStart w:id="88" w:name="_Toc32689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83"/>
      <w:bookmarkEnd w:id="84"/>
      <w:bookmarkEnd w:id="85"/>
      <w:bookmarkEnd w:id="86"/>
      <w:bookmarkEnd w:id="87"/>
      <w:bookmarkEnd w:id="88"/>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区人社局</w:t>
      </w:r>
      <w:r>
        <w:rPr>
          <w:rFonts w:hint="eastAsia" w:ascii="仿宋_GB2312" w:hAnsi="ˎ̥" w:eastAsia="仿宋_GB2312"/>
          <w:sz w:val="32"/>
          <w:szCs w:val="32"/>
        </w:rPr>
        <w:t>（单位）政府采购支出总额</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（上述政府采购支出相关数字取自2021年度部门决算报表F03表《机构运行信息表》，授予中小企业和小微企业合同金额由各部门查阅本部门相关资料填写。）</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sz w:val="32"/>
          <w:szCs w:val="32"/>
        </w:rPr>
      </w:pPr>
      <w:bookmarkStart w:id="89" w:name="_Toc10902_WPSOffice_Level2"/>
      <w:bookmarkStart w:id="90" w:name="_Toc527_WPSOffice_Level2"/>
      <w:bookmarkStart w:id="91" w:name="_Toc15129_WPSOffice_Level2"/>
      <w:bookmarkStart w:id="92" w:name="_Toc29584_WPSOffice_Level2"/>
      <w:bookmarkStart w:id="93" w:name="_Toc6016_WPSOffice_Level2"/>
      <w:bookmarkStart w:id="94" w:name="_Toc19989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本部门占用房屋面积0平方米，其中：办公用房0平方米，业务用房0平方米，其他（不含构筑物）0平方米。</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1</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（上述国有资产占用情况相关数字取自2021年度部门决算F01表《预算支出相关信息表》、F03表《机构运行信息表》。）</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ˎ̥"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ˎ̥" w:eastAsia="黑体"/>
          <w:sz w:val="32"/>
          <w:szCs w:val="32"/>
        </w:rPr>
      </w:pPr>
      <w:bookmarkStart w:id="95" w:name="_Toc17580_WPSOffice_Level1"/>
      <w:bookmarkStart w:id="96" w:name="_Toc4398_WPSOffice_Level1"/>
      <w:bookmarkStart w:id="97" w:name="_Toc11039_WPSOffice_Level1"/>
      <w:bookmarkStart w:id="98" w:name="_Toc15425_WPSOffice_Level1"/>
      <w:bookmarkStart w:id="99" w:name="_Toc8808_WPSOffice_Level1"/>
      <w:bookmarkStart w:id="100" w:name="_Toc8874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95"/>
      <w:bookmarkEnd w:id="96"/>
      <w:bookmarkEnd w:id="97"/>
      <w:bookmarkEnd w:id="98"/>
      <w:bookmarkEnd w:id="99"/>
      <w:bookmarkEnd w:id="100"/>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ˎ̥" w:eastAsia="黑体"/>
          <w:sz w:val="32"/>
          <w:szCs w:val="32"/>
        </w:rPr>
      </w:pPr>
    </w:p>
    <w:p>
      <w:pPr>
        <w:keepNext w:val="0"/>
        <w:keepLines w:val="0"/>
        <w:pageBreakBefore w:val="0"/>
        <w:numPr>
          <w:ilvl w:val="0"/>
          <w:numId w:val="4"/>
        </w:numPr>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5"/>
        <w:textAlignment w:val="auto"/>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620" w:lineRule="exact"/>
        <w:ind w:firstLine="645"/>
        <w:textAlignment w:val="auto"/>
        <w:rPr>
          <w:rFonts w:hint="eastAsia" w:ascii="仿宋_GB2312" w:hAnsi="ˎ̥" w:eastAsia="仿宋_GB2312"/>
          <w:sz w:val="32"/>
          <w:szCs w:val="32"/>
          <w:lang w:eastAsia="zh-CN"/>
        </w:rPr>
      </w:pP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2021年政府收支分类科目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textAlignment w:val="auto"/>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
    <w:altName w:val="Times New Roman"/>
    <w:panose1 w:val="00000000000000000000"/>
    <w:charset w:val="00"/>
    <w:family w:val="decorative"/>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4DE6C869"/>
    <w:multiLevelType w:val="singleLevel"/>
    <w:tmpl w:val="4DE6C869"/>
    <w:lvl w:ilvl="0" w:tentative="0">
      <w:start w:val="1"/>
      <w:numFmt w:val="chineseCounting"/>
      <w:suff w:val="nothing"/>
      <w:lvlText w:val="%1、"/>
      <w:lvlJc w:val="left"/>
      <w:rPr>
        <w:rFonts w:hint="eastAsia"/>
      </w:rPr>
    </w:lvl>
  </w:abstractNum>
  <w:abstractNum w:abstractNumId="2">
    <w:nsid w:val="537D5D59"/>
    <w:multiLevelType w:val="singleLevel"/>
    <w:tmpl w:val="537D5D59"/>
    <w:lvl w:ilvl="0" w:tentative="0">
      <w:start w:val="2"/>
      <w:numFmt w:val="chineseCounting"/>
      <w:suff w:val="space"/>
      <w:lvlText w:val="第%1部分"/>
      <w:lvlJc w:val="left"/>
      <w:rPr>
        <w:rFonts w:hint="eastAsia"/>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1NTQxN2RmOTIwNDkwMTFkOGNjMGU2MzdkOWMwOWUifQ=="/>
  </w:docVars>
  <w:rsids>
    <w:rsidRoot w:val="79642EDA"/>
    <w:rsid w:val="3B2259D7"/>
    <w:rsid w:val="50060D7E"/>
    <w:rsid w:val="5267716D"/>
    <w:rsid w:val="5D8073F9"/>
    <w:rsid w:val="735D5ED6"/>
    <w:rsid w:val="79642EDA"/>
    <w:rsid w:val="7B1E4D89"/>
    <w:rsid w:val="7BC84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WPSOffice手动目录 1"/>
    <w:qFormat/>
    <w:uiPriority w:val="0"/>
    <w:pPr>
      <w:ind w:leftChars="0"/>
    </w:pPr>
    <w:rPr>
      <w:rFonts w:ascii="Times New Roman" w:hAnsi="Times New Roman" w:eastAsia="宋体" w:cs="Times New Roman"/>
      <w:sz w:val="20"/>
      <w:szCs w:val="20"/>
    </w:rPr>
  </w:style>
  <w:style w:type="paragraph" w:customStyle="1" w:styleId="7">
    <w:name w:val="WPSOffice手动目录 2"/>
    <w:qFormat/>
    <w:uiPriority w:val="0"/>
    <w:pPr>
      <w:ind w:leftChars="200"/>
    </w:pPr>
    <w:rPr>
      <w:rFonts w:ascii="Times New Roman" w:hAnsi="Times New Roman" w:eastAsia="宋体" w:cs="Times New Roman"/>
      <w:sz w:val="20"/>
      <w:szCs w:val="20"/>
    </w:rPr>
  </w:style>
  <w:style w:type="paragraph" w:customStyle="1" w:styleId="8">
    <w:name w:val="正文1 Char Char Char"/>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9148</Words>
  <Characters>9824</Characters>
  <Lines>0</Lines>
  <Paragraphs>0</Paragraphs>
  <TotalTime>0</TotalTime>
  <ScaleCrop>false</ScaleCrop>
  <LinksUpToDate>false</LinksUpToDate>
  <CharactersWithSpaces>10007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2022-10-09T07:32:00Z</dcterms:created>
  <dc:creator>DIY</dc:creator>
  <cp:lastModifiedBy>阿智</cp:lastModifiedBy>
  <dcterms:modified xsi:type="dcterms:W3CDTF">2023-10-30T01:51:44Z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A2B50E5FB42740E89E175C916D09145E</vt:lpwstr>
  </property>
</Properties>
</file>