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方正小标宋简体" w:hAnsi="方正小标宋简体" w:eastAsia="方正小标宋简体" w:cs="方正小标宋简体"/>
          <w:color w:val="auto"/>
          <w:sz w:val="44"/>
          <w:szCs w:val="44"/>
        </w:rPr>
      </w:pPr>
      <w:bookmarkStart w:id="0" w:name="_Hlk155895088"/>
      <w:r>
        <w:rPr>
          <w:rFonts w:hint="eastAsia" w:ascii="方正小标宋简体" w:hAnsi="方正小标宋简体" w:eastAsia="方正小标宋简体" w:cs="方正小标宋简体"/>
          <w:color w:val="auto"/>
          <w:sz w:val="44"/>
          <w:szCs w:val="44"/>
        </w:rPr>
        <w:t>海口市秀英区促进楼宇经济高质量发展扶持政策（试行）申报指南</w:t>
      </w:r>
    </w:p>
    <w:p>
      <w:pPr>
        <w:spacing w:line="660" w:lineRule="exact"/>
        <w:rPr>
          <w:rFonts w:eastAsia="微软雅黑" w:cs="微软雅黑"/>
          <w:color w:val="auto"/>
          <w:szCs w:val="44"/>
        </w:rPr>
      </w:pPr>
    </w:p>
    <w:sdt>
      <w:sdtPr>
        <w:rPr>
          <w:rFonts w:ascii="Times New Roman" w:hAnsi="Times New Roman" w:eastAsiaTheme="minorEastAsia" w:cstheme="minorBidi"/>
          <w:color w:val="auto"/>
          <w:kern w:val="2"/>
          <w:szCs w:val="22"/>
          <w:lang w:val="zh-CN"/>
        </w:rPr>
        <w:id w:val="1273358409"/>
      </w:sdtPr>
      <w:sdtEndPr>
        <w:rPr>
          <w:rFonts w:ascii="Times New Roman" w:hAnsi="Times New Roman" w:eastAsia="仿宋GB2312" w:cs="仿宋_GB2312"/>
          <w:bCs/>
          <w:color w:val="auto"/>
          <w:kern w:val="2"/>
          <w:szCs w:val="32"/>
          <w:lang w:val="zh-CN"/>
        </w:rPr>
      </w:sdtEndPr>
      <w:sdtContent>
        <w:p>
          <w:pPr>
            <w:pStyle w:val="27"/>
            <w:spacing w:before="0" w:line="660" w:lineRule="exact"/>
            <w:jc w:val="center"/>
            <w:rPr>
              <w:rFonts w:ascii="Times New Roman" w:hAnsi="Times New Roman" w:eastAsia="仿宋_GB2312"/>
              <w:bCs/>
              <w:color w:val="auto"/>
            </w:rPr>
          </w:pPr>
          <w:r>
            <w:rPr>
              <w:rFonts w:hint="eastAsia" w:asciiTheme="minorEastAsia" w:hAnsiTheme="minorEastAsia" w:eastAsiaTheme="minorEastAsia"/>
              <w:b/>
              <w:color w:val="auto"/>
              <w:sz w:val="36"/>
              <w:szCs w:val="36"/>
              <w:lang w:val="zh-CN"/>
            </w:rPr>
            <w:t xml:space="preserve">目 </w:t>
          </w:r>
          <w:r>
            <w:rPr>
              <w:rFonts w:asciiTheme="minorEastAsia" w:hAnsiTheme="minorEastAsia" w:eastAsiaTheme="minorEastAsia"/>
              <w:b/>
              <w:color w:val="auto"/>
              <w:sz w:val="36"/>
              <w:szCs w:val="36"/>
              <w:lang w:val="zh-CN"/>
            </w:rPr>
            <w:t xml:space="preserve"> </w:t>
          </w:r>
          <w:r>
            <w:rPr>
              <w:rFonts w:hint="eastAsia" w:asciiTheme="minorEastAsia" w:hAnsiTheme="minorEastAsia" w:eastAsiaTheme="minorEastAsia"/>
              <w:b/>
              <w:color w:val="auto"/>
              <w:sz w:val="36"/>
              <w:szCs w:val="36"/>
              <w:lang w:val="zh-CN"/>
            </w:rPr>
            <w:t>录</w:t>
          </w:r>
        </w:p>
        <w:p>
          <w:pPr>
            <w:pStyle w:val="9"/>
            <w:tabs>
              <w:tab w:val="right" w:leader="dot" w:pos="8154"/>
            </w:tabs>
            <w:rPr>
              <w:rFonts w:asciiTheme="minorHAnsi" w:hAnsiTheme="minorHAnsi" w:eastAsiaTheme="minorEastAsia" w:cstheme="minorBidi"/>
              <w:color w:val="auto"/>
              <w:kern w:val="2"/>
              <w:sz w:val="21"/>
              <w:szCs w:val="22"/>
              <w14:ligatures w14:val="standardContextual"/>
            </w:rPr>
          </w:pPr>
          <w:r>
            <w:rPr>
              <w:rFonts w:hint="eastAsia" w:eastAsia="宋体"/>
              <w:color w:val="auto"/>
              <w:sz w:val="24"/>
              <w:szCs w:val="24"/>
            </w:rPr>
            <w:fldChar w:fldCharType="begin"/>
          </w:r>
          <w:r>
            <w:rPr>
              <w:rFonts w:hint="eastAsia" w:eastAsia="宋体"/>
              <w:color w:val="auto"/>
              <w:sz w:val="24"/>
              <w:szCs w:val="24"/>
            </w:rPr>
            <w:instrText xml:space="preserve"> TOC \o "1-3" \h \z \u </w:instrText>
          </w:r>
          <w:r>
            <w:rPr>
              <w:rFonts w:hint="eastAsia" w:eastAsia="宋体"/>
              <w:color w:val="auto"/>
              <w:sz w:val="24"/>
              <w:szCs w:val="24"/>
            </w:rPr>
            <w:fldChar w:fldCharType="separate"/>
          </w:r>
          <w:r>
            <w:fldChar w:fldCharType="begin"/>
          </w:r>
          <w:r>
            <w:instrText xml:space="preserve"> HYPERLINK \l "_Toc163392921" </w:instrText>
          </w:r>
          <w:r>
            <w:fldChar w:fldCharType="separate"/>
          </w:r>
          <w:r>
            <w:rPr>
              <w:rStyle w:val="14"/>
              <w:rFonts w:hint="eastAsia" w:ascii="黑体" w:hAnsi="黑体" w:eastAsia="黑体" w:cs="黑体"/>
            </w:rPr>
            <w:t>一、申报主体</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_Toc163392921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pPr>
            <w:pStyle w:val="9"/>
            <w:tabs>
              <w:tab w:val="right" w:leader="dot" w:pos="8154"/>
            </w:tabs>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"_Toc163392922" </w:instrText>
          </w:r>
          <w:r>
            <w:fldChar w:fldCharType="separate"/>
          </w:r>
          <w:r>
            <w:rPr>
              <w:rFonts w:hint="eastAsia" w:ascii="黑体" w:hAnsi="黑体" w:eastAsia="黑体" w:cs="黑体"/>
            </w:rPr>
            <w:t>二、操作规程与审核程序</w:t>
          </w:r>
          <w:r>
            <w:tab/>
          </w:r>
          <w:r>
            <w:fldChar w:fldCharType="begin"/>
          </w:r>
          <w:r>
            <w:instrText xml:space="preserve"> PAGEREF _Toc163392922 \h </w:instrText>
          </w:r>
          <w:r>
            <w:fldChar w:fldCharType="separate"/>
          </w:r>
          <w:r>
            <w:t>4</w:t>
          </w:r>
          <w:r>
            <w:fldChar w:fldCharType="end"/>
          </w:r>
          <w:r>
            <w:fldChar w:fldCharType="end"/>
          </w:r>
        </w:p>
        <w:p>
          <w:pPr>
            <w:pStyle w:val="9"/>
            <w:tabs>
              <w:tab w:val="right" w:leader="dot" w:pos="8154"/>
            </w:tabs>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"_Toc163392923" </w:instrText>
          </w:r>
          <w:r>
            <w:fldChar w:fldCharType="separate"/>
          </w:r>
          <w:r>
            <w:rPr>
              <w:rFonts w:hint="eastAsia" w:ascii="黑体" w:hAnsi="黑体" w:eastAsia="黑体" w:cs="黑体"/>
            </w:rPr>
            <w:t>三、党政服务及发展要素支持申请</w:t>
          </w:r>
          <w:r>
            <w:tab/>
          </w:r>
          <w:r>
            <w:fldChar w:fldCharType="begin"/>
          </w:r>
          <w:r>
            <w:instrText xml:space="preserve"> PAGEREF _Toc163392923 \h </w:instrText>
          </w:r>
          <w:r>
            <w:fldChar w:fldCharType="separate"/>
          </w:r>
          <w:r>
            <w:t>5</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"_Toc163392924" </w:instrText>
          </w:r>
          <w:r>
            <w:fldChar w:fldCharType="separate"/>
          </w:r>
          <w:r>
            <w:rPr>
              <w:rStyle w:val="14"/>
            </w:rPr>
            <w:t>（一）支持楼宇完善党建服务</w:t>
          </w:r>
          <w:r>
            <w:tab/>
          </w:r>
          <w:r>
            <w:fldChar w:fldCharType="begin"/>
          </w:r>
          <w:r>
            <w:instrText xml:space="preserve"> PAGEREF _Toc163392924 \h </w:instrText>
          </w:r>
          <w:r>
            <w:fldChar w:fldCharType="separate"/>
          </w:r>
          <w:r>
            <w:t>5</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"_Toc163392925" </w:instrText>
          </w:r>
          <w:r>
            <w:fldChar w:fldCharType="separate"/>
          </w:r>
          <w:r>
            <w:rPr>
              <w:rStyle w:val="14"/>
            </w:rPr>
            <w:t>（二）支持楼宇设置政务服务点</w:t>
          </w:r>
          <w:r>
            <w:tab/>
          </w:r>
          <w:r>
            <w:fldChar w:fldCharType="begin"/>
          </w:r>
          <w:r>
            <w:instrText xml:space="preserve"> PAGEREF _Toc163392925 \h </w:instrText>
          </w:r>
          <w:r>
            <w:fldChar w:fldCharType="separate"/>
          </w:r>
          <w:r>
            <w:t>5</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"_Toc163392926" </w:instrText>
          </w:r>
          <w:r>
            <w:fldChar w:fldCharType="separate"/>
          </w:r>
          <w:r>
            <w:rPr>
              <w:rStyle w:val="14"/>
            </w:rPr>
            <w:t>（三）支持楼宇设置政务服务绿色专窗</w:t>
          </w:r>
          <w:r>
            <w:tab/>
          </w:r>
          <w:r>
            <w:fldChar w:fldCharType="begin"/>
          </w:r>
          <w:r>
            <w:instrText xml:space="preserve"> PAGEREF _Toc163392926 \h </w:instrText>
          </w:r>
          <w:r>
            <w:fldChar w:fldCharType="separate"/>
          </w:r>
          <w:r>
            <w:t>6</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"_Toc163392927" </w:instrText>
          </w:r>
          <w:r>
            <w:fldChar w:fldCharType="separate"/>
          </w:r>
          <w:r>
            <w:rPr>
              <w:rStyle w:val="14"/>
            </w:rPr>
            <w:t>（四）支持线上绿色通道服务</w:t>
          </w:r>
          <w:r>
            <w:tab/>
          </w:r>
          <w:r>
            <w:fldChar w:fldCharType="begin"/>
          </w:r>
          <w:r>
            <w:instrText xml:space="preserve"> PAGEREF _Toc163392927 \h </w:instrText>
          </w:r>
          <w:r>
            <w:fldChar w:fldCharType="separate"/>
          </w:r>
          <w:r>
            <w:t>7</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"_Toc163392928" </w:instrText>
          </w:r>
          <w:r>
            <w:fldChar w:fldCharType="separate"/>
          </w:r>
          <w:r>
            <w:rPr>
              <w:rStyle w:val="14"/>
            </w:rPr>
            <w:t>（五）支持专业化司法服务</w:t>
          </w:r>
          <w:r>
            <w:tab/>
          </w:r>
          <w:r>
            <w:fldChar w:fldCharType="begin"/>
          </w:r>
          <w:r>
            <w:instrText xml:space="preserve"> PAGEREF _Toc163392928 \h </w:instrText>
          </w:r>
          <w:r>
            <w:fldChar w:fldCharType="separate"/>
          </w:r>
          <w:r>
            <w:t>7</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"_Toc163392929" </w:instrText>
          </w:r>
          <w:r>
            <w:fldChar w:fldCharType="separate"/>
          </w:r>
          <w:r>
            <w:rPr>
              <w:rStyle w:val="14"/>
            </w:rPr>
            <w:t>（六）支持定制性与便捷性税务服务</w:t>
          </w:r>
          <w:r>
            <w:tab/>
          </w:r>
          <w:r>
            <w:fldChar w:fldCharType="begin"/>
          </w:r>
          <w:r>
            <w:instrText xml:space="preserve"> PAGEREF _Toc163392929 \h </w:instrText>
          </w:r>
          <w:r>
            <w:fldChar w:fldCharType="separate"/>
          </w:r>
          <w:r>
            <w:t>8</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"_Toc163392930" </w:instrText>
          </w:r>
          <w:r>
            <w:fldChar w:fldCharType="separate"/>
          </w:r>
          <w:r>
            <w:rPr>
              <w:rStyle w:val="14"/>
            </w:rPr>
            <w:t>（七）支持优先服务保障企业用工</w:t>
          </w:r>
          <w:r>
            <w:tab/>
          </w:r>
          <w:r>
            <w:fldChar w:fldCharType="begin"/>
          </w:r>
          <w:r>
            <w:instrText xml:space="preserve"> PAGEREF _Toc163392930 \h </w:instrText>
          </w:r>
          <w:r>
            <w:fldChar w:fldCharType="separate"/>
          </w:r>
          <w:r>
            <w:t>8</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"_Toc163392931" </w:instrText>
          </w:r>
          <w:r>
            <w:fldChar w:fldCharType="separate"/>
          </w:r>
          <w:r>
            <w:rPr>
              <w:rStyle w:val="14"/>
            </w:rPr>
            <w:t>（八）支持加大高管和高层次人才保障力度</w:t>
          </w:r>
          <w:r>
            <w:tab/>
          </w:r>
          <w:r>
            <w:fldChar w:fldCharType="begin"/>
          </w:r>
          <w:r>
            <w:instrText xml:space="preserve"> PAGEREF _Toc163392931 \h </w:instrText>
          </w:r>
          <w:r>
            <w:fldChar w:fldCharType="separate"/>
          </w:r>
          <w:r>
            <w:t>8</w:t>
          </w:r>
          <w:r>
            <w:fldChar w:fldCharType="end"/>
          </w:r>
          <w:r>
            <w:fldChar w:fldCharType="end"/>
          </w:r>
        </w:p>
        <w:p>
          <w:pPr>
            <w:pStyle w:val="9"/>
            <w:tabs>
              <w:tab w:val="right" w:leader="dot" w:pos="8154"/>
            </w:tabs>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"_Toc163392932" </w:instrText>
          </w:r>
          <w:r>
            <w:fldChar w:fldCharType="separate"/>
          </w:r>
          <w:r>
            <w:rPr>
              <w:rFonts w:hint="eastAsia" w:ascii="黑体" w:hAnsi="黑体" w:eastAsia="黑体" w:cs="黑体"/>
            </w:rPr>
            <w:t>四、奖补政策具体申报条件及资料</w:t>
          </w:r>
          <w:r>
            <w:tab/>
          </w:r>
          <w:r>
            <w:fldChar w:fldCharType="begin"/>
          </w:r>
          <w:r>
            <w:instrText xml:space="preserve"> PAGEREF _Toc163392932 \h </w:instrText>
          </w:r>
          <w:r>
            <w:fldChar w:fldCharType="separate"/>
          </w:r>
          <w:r>
            <w:t>12</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"_Toc163392933" </w:instrText>
          </w:r>
          <w:r>
            <w:fldChar w:fldCharType="separate"/>
          </w:r>
          <w:r>
            <w:rPr>
              <w:rStyle w:val="14"/>
            </w:rPr>
            <w:t>（一）适用楼宇认定标准</w:t>
          </w:r>
          <w:r>
            <w:tab/>
          </w:r>
          <w:r>
            <w:fldChar w:fldCharType="begin"/>
          </w:r>
          <w:r>
            <w:instrText xml:space="preserve"> PAGEREF _Toc163392933 \h </w:instrText>
          </w:r>
          <w:r>
            <w:fldChar w:fldCharType="separate"/>
          </w:r>
          <w:r>
            <w:t>12</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"_Toc163392934" </w:instrText>
          </w:r>
          <w:r>
            <w:fldChar w:fldCharType="separate"/>
          </w:r>
          <w:r>
            <w:rPr>
              <w:rStyle w:val="14"/>
            </w:rPr>
            <w:t>（二）入驻企业租金补贴</w:t>
          </w:r>
          <w:r>
            <w:tab/>
          </w:r>
          <w:r>
            <w:fldChar w:fldCharType="begin"/>
          </w:r>
          <w:r>
            <w:instrText xml:space="preserve"> PAGEREF _Toc163392934 \h </w:instrText>
          </w:r>
          <w:r>
            <w:fldChar w:fldCharType="separate"/>
          </w:r>
          <w:r>
            <w:t>13</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"_Toc163392935" </w:instrText>
          </w:r>
          <w:r>
            <w:fldChar w:fldCharType="separate"/>
          </w:r>
          <w:r>
            <w:rPr>
              <w:rStyle w:val="14"/>
            </w:rPr>
            <w:t>（三）入驻企业装修补贴</w:t>
          </w:r>
          <w:r>
            <w:tab/>
          </w:r>
          <w:r>
            <w:fldChar w:fldCharType="begin"/>
          </w:r>
          <w:r>
            <w:instrText xml:space="preserve"> PAGEREF _Toc163392935 \h </w:instrText>
          </w:r>
          <w:r>
            <w:fldChar w:fldCharType="separate"/>
          </w:r>
          <w:r>
            <w:t>14</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"_Toc163392936" </w:instrText>
          </w:r>
          <w:r>
            <w:fldChar w:fldCharType="separate"/>
          </w:r>
          <w:r>
            <w:rPr>
              <w:rStyle w:val="14"/>
            </w:rPr>
            <w:t>（四）支持外资企业落户</w:t>
          </w:r>
          <w:r>
            <w:tab/>
          </w:r>
          <w:r>
            <w:fldChar w:fldCharType="begin"/>
          </w:r>
          <w:r>
            <w:instrText xml:space="preserve"> PAGEREF _Toc163392936 \h </w:instrText>
          </w:r>
          <w:r>
            <w:fldChar w:fldCharType="separate"/>
          </w:r>
          <w:r>
            <w:t>16</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"_Toc163392937" </w:instrText>
          </w:r>
          <w:r>
            <w:fldChar w:fldCharType="separate"/>
          </w:r>
          <w:r>
            <w:rPr>
              <w:rStyle w:val="14"/>
            </w:rPr>
            <w:t>（五）支持高能级企业落户</w:t>
          </w:r>
          <w:r>
            <w:tab/>
          </w:r>
          <w:r>
            <w:fldChar w:fldCharType="begin"/>
          </w:r>
          <w:r>
            <w:instrText xml:space="preserve"> PAGEREF _Toc163392937 \h </w:instrText>
          </w:r>
          <w:r>
            <w:fldChar w:fldCharType="separate"/>
          </w:r>
          <w:r>
            <w:t>19</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"_Toc163392938" </w:instrText>
          </w:r>
          <w:r>
            <w:fldChar w:fldCharType="separate"/>
          </w:r>
          <w:r>
            <w:rPr>
              <w:rStyle w:val="14"/>
            </w:rPr>
            <w:t>（六）支持科研平台落户</w:t>
          </w:r>
          <w:r>
            <w:tab/>
          </w:r>
          <w:r>
            <w:fldChar w:fldCharType="begin"/>
          </w:r>
          <w:r>
            <w:instrText xml:space="preserve"> PAGEREF _Toc163392938 \h </w:instrText>
          </w:r>
          <w:r>
            <w:fldChar w:fldCharType="separate"/>
          </w:r>
          <w:r>
            <w:t>22</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"_Toc163392939" </w:instrText>
          </w:r>
          <w:r>
            <w:fldChar w:fldCharType="separate"/>
          </w:r>
          <w:r>
            <w:rPr>
              <w:rStyle w:val="14"/>
            </w:rPr>
            <w:t>（七）支持楼宇加快建设进度</w:t>
          </w:r>
          <w:r>
            <w:tab/>
          </w:r>
          <w:r>
            <w:fldChar w:fldCharType="begin"/>
          </w:r>
          <w:r>
            <w:instrText xml:space="preserve"> PAGEREF _Toc163392939 \h </w:instrText>
          </w:r>
          <w:r>
            <w:fldChar w:fldCharType="separate"/>
          </w:r>
          <w:r>
            <w:t>23</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"_Toc163392940" </w:instrText>
          </w:r>
          <w:r>
            <w:fldChar w:fldCharType="separate"/>
          </w:r>
          <w:r>
            <w:rPr>
              <w:rStyle w:val="14"/>
            </w:rPr>
            <w:t>（八）支持楼宇推进标准化认证</w:t>
          </w:r>
          <w:r>
            <w:tab/>
          </w:r>
          <w:r>
            <w:fldChar w:fldCharType="begin"/>
          </w:r>
          <w:r>
            <w:instrText xml:space="preserve"> PAGEREF _Toc163392940 \h </w:instrText>
          </w:r>
          <w:r>
            <w:fldChar w:fldCharType="separate"/>
          </w:r>
          <w:r>
            <w:t>25</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"_Toc163392941" </w:instrText>
          </w:r>
          <w:r>
            <w:fldChar w:fldCharType="separate"/>
          </w:r>
          <w:r>
            <w:rPr>
              <w:rStyle w:val="14"/>
            </w:rPr>
            <w:t>（九）支持楼宇增加产权自持比例</w:t>
          </w:r>
          <w:r>
            <w:tab/>
          </w:r>
          <w:r>
            <w:fldChar w:fldCharType="begin"/>
          </w:r>
          <w:r>
            <w:instrText xml:space="preserve"> PAGEREF _Toc163392941 \h </w:instrText>
          </w:r>
          <w:r>
            <w:fldChar w:fldCharType="separate"/>
          </w:r>
          <w:r>
            <w:t>26</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"_Toc163392942" </w:instrText>
          </w:r>
          <w:r>
            <w:fldChar w:fldCharType="separate"/>
          </w:r>
          <w:r>
            <w:rPr>
              <w:rStyle w:val="14"/>
            </w:rPr>
            <w:t>（十）支持整合商务楼宇统一运营</w:t>
          </w:r>
          <w:r>
            <w:tab/>
          </w:r>
          <w:r>
            <w:fldChar w:fldCharType="begin"/>
          </w:r>
          <w:r>
            <w:instrText xml:space="preserve"> PAGEREF _Toc163392942 \h </w:instrText>
          </w:r>
          <w:r>
            <w:fldChar w:fldCharType="separate"/>
          </w:r>
          <w:r>
            <w:t>29</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"_Toc163392943" </w:instrText>
          </w:r>
          <w:r>
            <w:fldChar w:fldCharType="separate"/>
          </w:r>
          <w:r>
            <w:rPr>
              <w:rStyle w:val="14"/>
            </w:rPr>
            <w:t>（十一）支持楼宇设立企业服务中心</w:t>
          </w:r>
          <w:r>
            <w:tab/>
          </w:r>
          <w:r>
            <w:fldChar w:fldCharType="begin"/>
          </w:r>
          <w:r>
            <w:instrText xml:space="preserve"> PAGEREF _Toc163392943 \h </w:instrText>
          </w:r>
          <w:r>
            <w:fldChar w:fldCharType="separate"/>
          </w:r>
          <w:r>
            <w:t>31</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"_Toc163392944" </w:instrText>
          </w:r>
          <w:r>
            <w:fldChar w:fldCharType="separate"/>
          </w:r>
          <w:r>
            <w:rPr>
              <w:rStyle w:val="14"/>
            </w:rPr>
            <w:t>（十二）支持楼宇招引外资企业</w:t>
          </w:r>
          <w:r>
            <w:tab/>
          </w:r>
          <w:r>
            <w:fldChar w:fldCharType="begin"/>
          </w:r>
          <w:r>
            <w:instrText xml:space="preserve"> PAGEREF _Toc163392944 \h </w:instrText>
          </w:r>
          <w:r>
            <w:fldChar w:fldCharType="separate"/>
          </w:r>
          <w:r>
            <w:t>32</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"_Toc163392945" </w:instrText>
          </w:r>
          <w:r>
            <w:fldChar w:fldCharType="separate"/>
          </w:r>
          <w:r>
            <w:rPr>
              <w:rStyle w:val="14"/>
            </w:rPr>
            <w:t>（十三）支持楼宇招引高能级企业</w:t>
          </w:r>
          <w:r>
            <w:tab/>
          </w:r>
          <w:r>
            <w:fldChar w:fldCharType="begin"/>
          </w:r>
          <w:r>
            <w:instrText xml:space="preserve"> PAGEREF _Toc163392945 \h </w:instrText>
          </w:r>
          <w:r>
            <w:fldChar w:fldCharType="separate"/>
          </w:r>
          <w:r>
            <w:t>33</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"_Toc163392946" </w:instrText>
          </w:r>
          <w:r>
            <w:fldChar w:fldCharType="separate"/>
          </w:r>
          <w:r>
            <w:rPr>
              <w:rStyle w:val="14"/>
            </w:rPr>
            <w:t>（十四）支持楼宇招引科研平台</w:t>
          </w:r>
          <w:r>
            <w:tab/>
          </w:r>
          <w:r>
            <w:fldChar w:fldCharType="begin"/>
          </w:r>
          <w:r>
            <w:instrText xml:space="preserve"> PAGEREF _Toc163392946 \h </w:instrText>
          </w:r>
          <w:r>
            <w:fldChar w:fldCharType="separate"/>
          </w:r>
          <w:r>
            <w:t>34</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"_Toc163392947" </w:instrText>
          </w:r>
          <w:r>
            <w:fldChar w:fldCharType="separate"/>
          </w:r>
          <w:r>
            <w:rPr>
              <w:rStyle w:val="14"/>
            </w:rPr>
            <w:t>（十五）支持打造总部经济专业楼宇</w:t>
          </w:r>
          <w:r>
            <w:tab/>
          </w:r>
          <w:r>
            <w:fldChar w:fldCharType="begin"/>
          </w:r>
          <w:r>
            <w:instrText xml:space="preserve"> PAGEREF _Toc163392947 \h </w:instrText>
          </w:r>
          <w:r>
            <w:fldChar w:fldCharType="separate"/>
          </w:r>
          <w:r>
            <w:t>35</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"_Toc163392948" </w:instrText>
          </w:r>
          <w:r>
            <w:fldChar w:fldCharType="separate"/>
          </w:r>
          <w:r>
            <w:rPr>
              <w:rStyle w:val="14"/>
            </w:rPr>
            <w:t>（十六）支持培育特色产业楼宇</w:t>
          </w:r>
          <w:r>
            <w:tab/>
          </w:r>
          <w:r>
            <w:fldChar w:fldCharType="begin"/>
          </w:r>
          <w:r>
            <w:instrText xml:space="preserve"> PAGEREF _Toc163392948 \h </w:instrText>
          </w:r>
          <w:r>
            <w:fldChar w:fldCharType="separate"/>
          </w:r>
          <w:r>
            <w:t>37</w:t>
          </w:r>
          <w:r>
            <w:fldChar w:fldCharType="end"/>
          </w:r>
          <w:r>
            <w:fldChar w:fldCharType="end"/>
          </w:r>
        </w:p>
        <w:p>
          <w:pPr>
            <w:pStyle w:val="10"/>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"_Toc163392949" </w:instrText>
          </w:r>
          <w:r>
            <w:fldChar w:fldCharType="separate"/>
          </w:r>
          <w:r>
            <w:rPr>
              <w:rStyle w:val="14"/>
            </w:rPr>
            <w:t>（十七）支持培育亿元楼宇</w:t>
          </w:r>
          <w:r>
            <w:tab/>
          </w:r>
          <w:r>
            <w:fldChar w:fldCharType="begin"/>
          </w:r>
          <w:r>
            <w:instrText xml:space="preserve"> PAGEREF _Toc163392949 \h </w:instrText>
          </w:r>
          <w:r>
            <w:fldChar w:fldCharType="separate"/>
          </w:r>
          <w:r>
            <w:t>40</w:t>
          </w:r>
          <w:r>
            <w:fldChar w:fldCharType="end"/>
          </w:r>
          <w:r>
            <w:fldChar w:fldCharType="end"/>
          </w:r>
        </w:p>
        <w:p>
          <w:pPr>
            <w:pStyle w:val="9"/>
            <w:tabs>
              <w:tab w:val="right" w:leader="dot" w:pos="8154"/>
            </w:tabs>
            <w:rPr>
              <w:rFonts w:asciiTheme="minorHAnsi" w:hAnsiTheme="minorHAnsi" w:eastAsiaTheme="minorEastAsia" w:cstheme="minorBidi"/>
              <w:color w:val="auto"/>
              <w:kern w:val="2"/>
              <w:sz w:val="21"/>
              <w:szCs w:val="22"/>
              <w14:ligatures w14:val="standardContextual"/>
            </w:rPr>
          </w:pPr>
          <w:r>
            <w:fldChar w:fldCharType="begin"/>
          </w:r>
          <w:r>
            <w:instrText xml:space="preserve"> HYPERLINK \l "_Toc163392950" </w:instrText>
          </w:r>
          <w:r>
            <w:fldChar w:fldCharType="separate"/>
          </w:r>
          <w:r>
            <w:rPr>
              <w:rFonts w:hint="eastAsia" w:ascii="黑体" w:hAnsi="黑体" w:eastAsia="黑体" w:cs="黑体"/>
            </w:rPr>
            <w:t>五、其他事项</w:t>
          </w:r>
          <w:r>
            <w:tab/>
          </w:r>
          <w:r>
            <w:fldChar w:fldCharType="begin"/>
          </w:r>
          <w:r>
            <w:instrText xml:space="preserve"> PAGEREF _Toc163392950 \h </w:instrText>
          </w:r>
          <w:r>
            <w:fldChar w:fldCharType="separate"/>
          </w:r>
          <w:r>
            <w:t>41</w:t>
          </w:r>
          <w:r>
            <w:fldChar w:fldCharType="end"/>
          </w:r>
          <w:r>
            <w:fldChar w:fldCharType="end"/>
          </w:r>
        </w:p>
        <w:p>
          <w:pPr>
            <w:tabs>
              <w:tab w:val="center" w:pos="4082"/>
            </w:tabs>
            <w:rPr>
              <w:color w:val="auto"/>
            </w:rPr>
          </w:pPr>
          <w:r>
            <w:rPr>
              <w:rFonts w:hint="eastAsia" w:eastAsia="宋体"/>
              <w:bCs/>
              <w:color w:val="auto"/>
              <w:sz w:val="24"/>
              <w:szCs w:val="24"/>
              <w:lang w:val="zh-CN"/>
            </w:rPr>
            <w:fldChar w:fldCharType="end"/>
          </w:r>
        </w:p>
      </w:sdtContent>
    </w:sdt>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ind w:firstLine="640" w:firstLineChars="200"/>
        <w:rPr>
          <w:color w:val="auto"/>
        </w:rPr>
      </w:pPr>
    </w:p>
    <w:p>
      <w:pPr>
        <w:spacing w:line="560" w:lineRule="exact"/>
        <w:rPr>
          <w:color w:val="auto"/>
        </w:rPr>
      </w:pPr>
    </w:p>
    <w:p>
      <w:pPr>
        <w:spacing w:line="560" w:lineRule="exact"/>
        <w:rPr>
          <w:color w:val="auto"/>
        </w:rPr>
      </w:pPr>
    </w:p>
    <w:p>
      <w:pPr>
        <w:spacing w:line="560" w:lineRule="exact"/>
        <w:rPr>
          <w:color w:val="auto"/>
        </w:rPr>
      </w:pPr>
    </w:p>
    <w:p>
      <w:pPr>
        <w:spacing w:line="560" w:lineRule="exact"/>
        <w:rPr>
          <w:color w:val="auto"/>
        </w:rPr>
      </w:pPr>
    </w:p>
    <w:p>
      <w:pPr>
        <w:spacing w:line="560" w:lineRule="exact"/>
        <w:ind w:firstLine="640" w:firstLineChars="200"/>
        <w:rPr>
          <w:color w:val="auto"/>
        </w:rPr>
      </w:pPr>
      <w:r>
        <w:rPr>
          <w:rFonts w:hint="eastAsia"/>
          <w:color w:val="auto"/>
        </w:rPr>
        <w:t>为落实《海口市秀英区促进楼宇经济高质量发展扶持政策（试行）》（下文统称为《政策》）的全面实施，规范扶持楼宇经济发展的各项工作流程，结合我区实际，制定本申报指南：</w:t>
      </w:r>
    </w:p>
    <w:p>
      <w:pPr>
        <w:spacing w:line="560" w:lineRule="exact"/>
        <w:rPr>
          <w:rFonts w:eastAsia="微软雅黑"/>
          <w:bCs/>
          <w:color w:val="auto"/>
        </w:rPr>
      </w:pPr>
    </w:p>
    <w:p>
      <w:pPr>
        <w:spacing w:line="560" w:lineRule="exact"/>
        <w:ind w:firstLine="640" w:firstLineChars="200"/>
        <w:outlineLvl w:val="0"/>
        <w:rPr>
          <w:rFonts w:eastAsia="黑体" w:cs="黑体"/>
          <w:color w:val="auto"/>
        </w:rPr>
      </w:pPr>
      <w:bookmarkStart w:id="1" w:name="_Toc163392921"/>
      <w:r>
        <w:rPr>
          <w:rFonts w:hint="eastAsia" w:eastAsia="黑体" w:cs="黑体"/>
          <w:color w:val="auto"/>
        </w:rPr>
        <w:t>一、申报主体</w:t>
      </w:r>
      <w:bookmarkEnd w:id="1"/>
    </w:p>
    <w:p>
      <w:pPr>
        <w:spacing w:line="560" w:lineRule="exact"/>
        <w:ind w:firstLine="640" w:firstLineChars="200"/>
        <w:rPr>
          <w:rStyle w:val="14"/>
          <w:color w:val="auto"/>
          <w:u w:val="none"/>
        </w:rPr>
      </w:pPr>
      <w:r>
        <w:rPr>
          <w:rFonts w:hint="eastAsia" w:cs="楷体_GB2312"/>
          <w:color w:val="auto"/>
        </w:rPr>
        <w:t>（一）</w:t>
      </w:r>
      <w:r>
        <w:rPr>
          <w:rFonts w:hint="eastAsia"/>
          <w:color w:val="auto"/>
        </w:rPr>
        <w:t>现代金融业、高端会展业和现代物流业等现代服务业、数字经济为代表的高新技术产业、符合自贸港鼓励类产业方向或秀英区产业发展导向、切合秀英区经济发展需求的，具有独立法人资格、财务独立核算、工商注册、税务登记和统计关系均在秀英区，且入驻区内商务楼宇的企业（不含房地产企业）。同一时间段、同一房屋内仅对一家企业进行补贴，如出现关联企业时仅对其中一家企业进行补贴。</w:t>
      </w:r>
    </w:p>
    <w:p>
      <w:pPr>
        <w:spacing w:line="560" w:lineRule="exact"/>
        <w:ind w:firstLine="640" w:firstLineChars="200"/>
        <w:rPr>
          <w:rFonts w:ascii="仿宋_GB2312" w:hAnsi="仿宋_GB2312"/>
          <w:color w:val="auto"/>
        </w:rPr>
      </w:pPr>
      <w:r>
        <w:rPr>
          <w:rFonts w:hint="eastAsia" w:cs="楷体_GB2312"/>
          <w:color w:val="auto"/>
        </w:rPr>
        <w:t>（二）</w:t>
      </w:r>
      <w:r>
        <w:rPr>
          <w:rFonts w:hint="eastAsia"/>
          <w:color w:val="auto"/>
        </w:rPr>
        <w:t>具有独立法人资格、财务独立核算、工商注册、税务登记和统计关系均在秀英区的楼宇开发企业、楼宇业主、楼宇运营企业、物业管理企业等参与楼宇经济建设的市场主体</w:t>
      </w:r>
      <w:r>
        <w:rPr>
          <w:rFonts w:hint="eastAsia" w:ascii="仿宋_GB2312" w:hAnsi="仿宋_GB2312"/>
          <w:color w:val="auto"/>
        </w:rPr>
        <w:t>。</w:t>
      </w:r>
      <w:r>
        <w:rPr>
          <w:rFonts w:hint="eastAsia"/>
          <w:color w:val="auto"/>
        </w:rPr>
        <w:t>执行申报操作时，按如下情形明确申报主体：</w:t>
      </w:r>
    </w:p>
    <w:p>
      <w:pPr>
        <w:spacing w:line="560" w:lineRule="exact"/>
        <w:ind w:firstLine="640" w:firstLineChars="200"/>
        <w:rPr>
          <w:color w:val="auto"/>
        </w:rPr>
      </w:pPr>
      <w:r>
        <w:rPr>
          <w:rFonts w:hint="eastAsia"/>
          <w:color w:val="auto"/>
        </w:rPr>
        <w:t>1．业权集中的商务楼宇以楼宇开发企业、楼宇业主（或其授权的楼宇运营企业）作为申报主体发起申报；</w:t>
      </w:r>
    </w:p>
    <w:p>
      <w:pPr>
        <w:spacing w:line="560" w:lineRule="exact"/>
        <w:ind w:firstLine="640" w:firstLineChars="200"/>
        <w:rPr>
          <w:color w:val="auto"/>
        </w:rPr>
      </w:pPr>
      <w:r>
        <w:rPr>
          <w:color w:val="auto"/>
        </w:rPr>
        <w:t>2</w:t>
      </w:r>
      <w:r>
        <w:rPr>
          <w:rFonts w:hint="eastAsia"/>
          <w:color w:val="auto"/>
        </w:rPr>
        <w:t>．业权分散的商务楼宇，以楼宇开发企业、物业管理企业（或其授权的楼宇运营企业）作为申报主体发起申报。</w:t>
      </w:r>
    </w:p>
    <w:p>
      <w:pPr>
        <w:spacing w:line="560" w:lineRule="exact"/>
        <w:ind w:firstLine="640" w:firstLineChars="200"/>
        <w:rPr>
          <w:color w:val="auto"/>
        </w:rPr>
      </w:pPr>
      <w:r>
        <w:rPr>
          <w:rFonts w:hint="eastAsia"/>
          <w:color w:val="auto"/>
        </w:rPr>
        <w:t>同一条款仅限一个申报主体。当申报主体为楼宇运营企业或物业管理企业的，需提供与楼宇开发企业或楼宇业主方签订的授权文件复印件。</w:t>
      </w:r>
    </w:p>
    <w:p>
      <w:pPr>
        <w:pStyle w:val="28"/>
        <w:spacing w:line="560" w:lineRule="exact"/>
        <w:outlineLvl w:val="0"/>
        <w:rPr>
          <w:rFonts w:ascii="Times New Roman" w:hAnsi="Times New Roman"/>
          <w:color w:val="auto"/>
        </w:rPr>
      </w:pPr>
      <w:bookmarkStart w:id="2" w:name="_Toc163392922"/>
      <w:r>
        <w:rPr>
          <w:rFonts w:hint="eastAsia" w:ascii="Times New Roman" w:hAnsi="Times New Roman"/>
          <w:color w:val="auto"/>
        </w:rPr>
        <w:t>二、操作规程与审核程序</w:t>
      </w:r>
      <w:bookmarkEnd w:id="2"/>
    </w:p>
    <w:p>
      <w:pPr>
        <w:spacing w:line="560" w:lineRule="exact"/>
        <w:ind w:firstLine="640" w:firstLineChars="200"/>
        <w:rPr>
          <w:rFonts w:eastAsia="楷体_GB2312" w:cs="楷体_GB2312"/>
          <w:color w:val="auto"/>
        </w:rPr>
      </w:pPr>
      <w:r>
        <w:rPr>
          <w:rFonts w:hint="eastAsia" w:eastAsia="楷体_GB2312" w:cs="楷体_GB2312"/>
          <w:color w:val="auto"/>
        </w:rPr>
        <w:t>（一）党政服务与发展要素操作规程</w:t>
      </w:r>
    </w:p>
    <w:p>
      <w:pPr>
        <w:spacing w:line="560" w:lineRule="exact"/>
        <w:ind w:firstLine="640" w:firstLineChars="200"/>
        <w:rPr>
          <w:color w:val="auto"/>
        </w:rPr>
      </w:pPr>
      <w:r>
        <w:rPr>
          <w:rFonts w:hint="eastAsia"/>
          <w:color w:val="auto"/>
        </w:rPr>
        <w:t>本《政策》第二、三章的申报受理单位分别为区委组织部、营商环境、市场监督管理、法院、人社、教育、卫健委、住建、资规等，申报支持操作规程由对口职能部门执行。</w:t>
      </w:r>
    </w:p>
    <w:p>
      <w:pPr>
        <w:spacing w:line="560" w:lineRule="exact"/>
        <w:ind w:firstLine="640" w:firstLineChars="200"/>
        <w:rPr>
          <w:rFonts w:eastAsia="楷体_GB2312" w:cs="楷体_GB2312"/>
          <w:color w:val="auto"/>
        </w:rPr>
      </w:pPr>
      <w:r>
        <w:rPr>
          <w:rFonts w:hint="eastAsia" w:eastAsia="楷体_GB2312" w:cs="楷体_GB2312"/>
          <w:color w:val="auto"/>
        </w:rPr>
        <w:t>（二）奖补政策审核程序</w:t>
      </w:r>
    </w:p>
    <w:p>
      <w:pPr>
        <w:spacing w:line="560" w:lineRule="exact"/>
        <w:ind w:firstLine="640" w:firstLineChars="200"/>
        <w:rPr>
          <w:rFonts w:ascii="仿宋_GB2312" w:hAnsi="仿宋_GB2312"/>
          <w:color w:val="auto"/>
        </w:rPr>
      </w:pPr>
      <w:r>
        <w:rPr>
          <w:rFonts w:hint="eastAsia"/>
          <w:color w:val="auto"/>
        </w:rPr>
        <w:t>本《政策》第四章的申报受理单位为秀英区商务局，审核程序主要包含资料接收、资料审查、项目核定、专项审计、上会核定、项目公示等相关必要程序。</w:t>
      </w:r>
      <w:r>
        <w:rPr>
          <w:rFonts w:hint="eastAsia" w:ascii="仿宋_GB2312" w:hAnsi="仿宋_GB2312"/>
          <w:color w:val="auto"/>
        </w:rPr>
        <mc:AlternateContent>
          <mc:Choice Requires="wps">
            <w:drawing>
              <wp:anchor distT="0" distB="0" distL="114300" distR="114300" simplePos="0" relativeHeight="251659264" behindDoc="1" locked="0" layoutInCell="1" allowOverlap="1">
                <wp:simplePos x="0" y="0"/>
                <wp:positionH relativeFrom="column">
                  <wp:posOffset>1003300</wp:posOffset>
                </wp:positionH>
                <wp:positionV relativeFrom="line">
                  <wp:posOffset>431800</wp:posOffset>
                </wp:positionV>
                <wp:extent cx="5626100" cy="381000"/>
                <wp:effectExtent l="0" t="0" r="2540" b="7620"/>
                <wp:wrapNone/>
                <wp:docPr id="42" name="任意多边形 42"/>
                <wp:cNvGraphicFramePr/>
                <a:graphic xmlns:a="http://schemas.openxmlformats.org/drawingml/2006/main">
                  <a:graphicData uri="http://schemas.microsoft.com/office/word/2010/wordprocessingShape">
                    <wps:wsp>
                      <wps:cNvSpPr/>
                      <wps:spPr>
                        <a:xfrm>
                          <a:off x="0" y="0"/>
                          <a:ext cx="5626100" cy="381000"/>
                        </a:xfrm>
                        <a:custGeom>
                          <a:avLst/>
                          <a:gdLst/>
                          <a:ahLst/>
                          <a:cxnLst/>
                          <a:rect l="l" t="t" r="r" b="b"/>
                          <a:pathLst>
                            <a:path w="5626100" h="381000">
                              <a:moveTo>
                                <a:pt x="4444" y="0"/>
                              </a:moveTo>
                              <a:lnTo>
                                <a:pt x="5621019" y="0"/>
                              </a:lnTo>
                              <a:lnTo>
                                <a:pt x="5621019" y="381000"/>
                              </a:lnTo>
                              <a:lnTo>
                                <a:pt x="4444" y="381000"/>
                              </a:lnTo>
                              <a:close/>
                            </a:path>
                          </a:pathLst>
                        </a:custGeom>
                        <a:solidFill>
                          <a:srgbClr val="FFFFFF"/>
                        </a:solidFill>
                        <a:ln>
                          <a:noFill/>
                        </a:ln>
                        <a:effectLst/>
                      </wps:spPr>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100" style="position:absolute;left:0pt;margin-left:79pt;margin-top:34pt;height:30pt;width:443pt;mso-position-vertical-relative:line;z-index:-251657216;mso-width-relative:page;mso-height-relative:page;" fillcolor="#FFFFFF" filled="t" stroked="f" coordsize="5626100,381000" o:gfxdata="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zmCyWtUAAAALAQAADwAAAAAAAAABACAAAAAiAAAAZHJzL2Rv&#10;d25yZXYueG1sUEsBAhQAFAAAAAgAh07iQHh3t66vAgAAtAUAAA4AAAAAAAAAAQAgAAAAJAEAAGRy&#10;cy9lMm9Eb2MueG1sUEsFBgAAAAAGAAYAWQEAAEUGAAAAAA==&#10;" path="m4444,0l5621019,0,5621019,381000,4444,381000xe">
                <v:fill on="t" focussize="0,0"/>
                <v:stroke on="f"/>
                <v:imagedata o:title=""/>
                <o:lock v:ext="edit" aspectratio="f"/>
              </v:shape>
            </w:pict>
          </mc:Fallback>
        </mc:AlternateContent>
      </w:r>
    </w:p>
    <w:p>
      <w:pPr>
        <w:autoSpaceDE w:val="0"/>
        <w:autoSpaceDN w:val="0"/>
        <w:spacing w:line="560" w:lineRule="exact"/>
        <w:rPr>
          <w:rFonts w:ascii="仿宋_GB2312" w:hAnsi="仿宋_GB2312"/>
          <w:color w:val="auto"/>
        </w:rPr>
      </w:pPr>
      <w:r>
        <w:rPr>
          <w:rFonts w:hint="eastAsia" w:ascii="仿宋_GB2312" w:hAnsi="仿宋_GB2312"/>
          <w:color w:val="auto"/>
        </w:rPr>
        <w:t xml:space="preserve">   </w:t>
      </w:r>
      <w:r>
        <w:rPr>
          <w:rFonts w:hint="eastAsia"/>
          <w:color w:val="auto"/>
        </w:rPr>
        <w:t>（1）</w:t>
      </w:r>
      <w:r>
        <w:rPr>
          <w:rFonts w:hint="eastAsia" w:ascii="仿宋_GB2312" w:hAnsi="仿宋_GB2312"/>
          <w:color w:val="auto"/>
        </w:rPr>
        <w:t>组建专班。由区商务部门牵头，</w:t>
      </w:r>
      <w:bookmarkStart w:id="3" w:name="_Hlk156296645"/>
      <w:r>
        <w:rPr>
          <w:rFonts w:hint="eastAsia" w:ascii="仿宋_GB2312" w:hAnsi="仿宋_GB2312"/>
          <w:color w:val="auto"/>
        </w:rPr>
        <w:t>财政、科工信、发改、营商环境、住建、资规、统计、金融、人社、教育、市场监督管理、卫健委、法院</w:t>
      </w:r>
      <w:bookmarkEnd w:id="3"/>
      <w:r>
        <w:rPr>
          <w:rFonts w:hint="eastAsia" w:ascii="仿宋_GB2312" w:hAnsi="仿宋_GB2312"/>
          <w:color w:val="auto"/>
        </w:rPr>
        <w:t>等</w:t>
      </w:r>
      <w:r>
        <w:rPr>
          <w:rFonts w:hint="eastAsia"/>
          <w:color w:val="auto"/>
        </w:rPr>
        <w:t>相关行业主管部门依职责配合，组成审核认定和奖补工作专班；扶持对象按照本指南</w:t>
      </w:r>
      <w:r>
        <w:rPr>
          <w:rFonts w:hint="eastAsia" w:ascii="仿宋_GB2312" w:hAnsi="仿宋_GB2312"/>
          <w:color w:val="auto"/>
        </w:rPr>
        <w:t>自主申报，并按要求将相关申报材料报送区商务部门。</w:t>
      </w:r>
    </w:p>
    <w:p>
      <w:pPr>
        <w:spacing w:line="560" w:lineRule="exact"/>
        <w:rPr>
          <w:rFonts w:ascii="仿宋_GB2312" w:hAnsi="仿宋_GB2312"/>
          <w:color w:val="auto"/>
        </w:rPr>
      </w:pPr>
      <w:r>
        <w:rPr>
          <w:rFonts w:hint="eastAsia" w:ascii="仿宋_GB2312" w:hAnsi="仿宋_GB2312"/>
          <w:color w:val="auto"/>
        </w:rPr>
        <w:t xml:space="preserve">  </w:t>
      </w:r>
      <w:r>
        <w:rPr>
          <w:rFonts w:ascii="仿宋_GB2312" w:hAnsi="仿宋_GB2312"/>
          <w:color w:val="auto"/>
        </w:rPr>
        <w:t xml:space="preserve"> </w:t>
      </w:r>
      <w:r>
        <w:rPr>
          <w:rFonts w:hint="eastAsia"/>
          <w:color w:val="auto"/>
        </w:rPr>
        <w:t>（</w:t>
      </w:r>
      <w:r>
        <w:rPr>
          <w:color w:val="auto"/>
        </w:rPr>
        <w:t>2</w:t>
      </w:r>
      <w:r>
        <w:rPr>
          <w:rFonts w:hint="eastAsia"/>
          <w:color w:val="auto"/>
        </w:rPr>
        <w:t>）</w:t>
      </w:r>
      <w:r>
        <w:rPr>
          <w:rFonts w:hint="eastAsia" w:ascii="仿宋_GB2312" w:hAnsi="仿宋_GB2312"/>
          <w:color w:val="auto"/>
        </w:rPr>
        <w:t>审查核定。区商务部门会同其他专班成员采用实地调研、会商会审、随机抽查、公示公告等方式对扶持对象上报的各项申报材料进行审查，对各项数据真实情况进行核实。</w:t>
      </w:r>
    </w:p>
    <w:p>
      <w:pPr>
        <w:spacing w:line="560" w:lineRule="exact"/>
        <w:rPr>
          <w:color w:val="auto"/>
        </w:rPr>
      </w:pPr>
      <w:r>
        <w:rPr>
          <w:rFonts w:hint="eastAsia" w:ascii="仿宋_GB2312" w:hAnsi="仿宋_GB2312"/>
          <w:color w:val="auto"/>
        </w:rPr>
        <w:t xml:space="preserve">  </w:t>
      </w:r>
      <w:r>
        <w:rPr>
          <w:rFonts w:ascii="仿宋_GB2312" w:hAnsi="仿宋_GB2312"/>
          <w:color w:val="auto"/>
        </w:rPr>
        <w:t xml:space="preserve"> </w:t>
      </w:r>
      <w:r>
        <w:rPr>
          <w:rFonts w:hint="eastAsia"/>
          <w:color w:val="auto"/>
        </w:rPr>
        <w:t>（</w:t>
      </w:r>
      <w:r>
        <w:rPr>
          <w:color w:val="auto"/>
        </w:rPr>
        <w:t>3</w:t>
      </w:r>
      <w:r>
        <w:rPr>
          <w:rFonts w:hint="eastAsia"/>
          <w:color w:val="auto"/>
        </w:rPr>
        <w:t>）</w:t>
      </w:r>
      <w:r>
        <w:rPr>
          <w:rFonts w:hint="eastAsia" w:ascii="仿宋_GB2312" w:hAnsi="仿宋_GB2312"/>
          <w:color w:val="auto"/>
        </w:rPr>
        <w:t>审定备案。区商务部门将专班联审结果呈报区政府常务会等相关会议审定后确定奖补发放事宜,并报区政府备案。</w:t>
      </w:r>
    </w:p>
    <w:p>
      <w:pPr>
        <w:spacing w:line="560" w:lineRule="exact"/>
        <w:ind w:firstLine="640" w:firstLineChars="200"/>
        <w:rPr>
          <w:rFonts w:eastAsia="楷体_GB2312" w:cs="楷体_GB2312"/>
          <w:color w:val="auto"/>
        </w:rPr>
      </w:pPr>
      <w:bookmarkStart w:id="4" w:name="_Toc156320039"/>
      <w:r>
        <w:rPr>
          <w:rFonts w:hint="eastAsia" w:eastAsia="楷体_GB2312" w:cs="楷体_GB2312"/>
          <w:color w:val="auto"/>
        </w:rPr>
        <w:t>（三）沟通合作</w:t>
      </w:r>
    </w:p>
    <w:p>
      <w:pPr>
        <w:spacing w:line="560" w:lineRule="exact"/>
        <w:ind w:firstLine="640" w:firstLineChars="200"/>
        <w:rPr>
          <w:rFonts w:ascii="仿宋_GB2312" w:hAnsi="仿宋_GB2312"/>
          <w:color w:val="auto"/>
        </w:rPr>
      </w:pPr>
      <w:r>
        <w:rPr>
          <w:rFonts w:hint="eastAsia" w:ascii="仿宋_GB2312" w:hAnsi="仿宋_GB2312"/>
          <w:color w:val="auto"/>
        </w:rPr>
        <w:t>申报受理单位加强与楼宇经济促进会等行业商协会的沟通合作，发挥其平台权纽作用，联合做好政策宣传推广和服务协调工作，共同创造发展楼宇经济的良好环境。</w:t>
      </w:r>
    </w:p>
    <w:p>
      <w:pPr>
        <w:pStyle w:val="28"/>
        <w:spacing w:line="560" w:lineRule="exact"/>
        <w:outlineLvl w:val="0"/>
        <w:rPr>
          <w:rFonts w:ascii="Times New Roman" w:hAnsi="Times New Roman"/>
          <w:color w:val="auto"/>
        </w:rPr>
      </w:pPr>
      <w:bookmarkStart w:id="5" w:name="_Toc163392923"/>
      <w:r>
        <w:rPr>
          <w:rFonts w:hint="eastAsia" w:ascii="Times New Roman" w:hAnsi="Times New Roman"/>
          <w:color w:val="auto"/>
        </w:rPr>
        <w:t>三、党政服务及发展要素支持申请</w:t>
      </w:r>
      <w:bookmarkEnd w:id="4"/>
      <w:bookmarkEnd w:id="5"/>
    </w:p>
    <w:p>
      <w:pPr>
        <w:pStyle w:val="30"/>
        <w:spacing w:line="560" w:lineRule="exact"/>
        <w:outlineLvl w:val="1"/>
        <w:rPr>
          <w:rFonts w:ascii="Times New Roman" w:hAnsi="Times New Roman"/>
          <w:b w:val="0"/>
          <w:bCs w:val="0"/>
        </w:rPr>
      </w:pPr>
      <w:bookmarkStart w:id="6" w:name="_Toc156320040"/>
      <w:bookmarkStart w:id="7" w:name="_Toc163392924"/>
      <w:r>
        <w:rPr>
          <w:rFonts w:hint="eastAsia" w:ascii="Times New Roman" w:hAnsi="Times New Roman"/>
          <w:b w:val="0"/>
          <w:bCs w:val="0"/>
        </w:rPr>
        <w:t>（一）支持楼宇完善党建服务</w:t>
      </w:r>
      <w:bookmarkEnd w:id="6"/>
      <w:bookmarkEnd w:id="7"/>
    </w:p>
    <w:p>
      <w:pPr>
        <w:spacing w:line="560" w:lineRule="exact"/>
        <w:ind w:firstLine="640" w:firstLineChars="200"/>
        <w:rPr>
          <w:color w:val="auto"/>
        </w:rPr>
      </w:pPr>
      <w:r>
        <w:rPr>
          <w:rFonts w:hint="eastAsia"/>
          <w:color w:val="auto"/>
        </w:rPr>
        <w:t>（1）职能部门：区委组织部</w:t>
      </w:r>
    </w:p>
    <w:p>
      <w:pPr>
        <w:spacing w:line="560" w:lineRule="exact"/>
        <w:ind w:firstLine="640" w:firstLineChars="200"/>
        <w:rPr>
          <w:color w:val="auto"/>
        </w:rPr>
      </w:pPr>
      <w:r>
        <w:rPr>
          <w:rFonts w:hint="eastAsia"/>
          <w:color w:val="auto"/>
        </w:rPr>
        <w:t>（</w:t>
      </w:r>
      <w:r>
        <w:rPr>
          <w:color w:val="auto"/>
        </w:rPr>
        <w:t>2</w:t>
      </w:r>
      <w:r>
        <w:rPr>
          <w:rFonts w:hint="eastAsia"/>
          <w:color w:val="auto"/>
        </w:rPr>
        <w:t>）联系电话：</w:t>
      </w:r>
      <w:r>
        <w:rPr>
          <w:color w:val="auto"/>
        </w:rPr>
        <w:t>0898-68658586</w:t>
      </w:r>
      <w:r>
        <w:rPr>
          <w:color w:val="auto"/>
        </w:rPr>
        <w:br w:type="textWrapping"/>
      </w:r>
      <w:r>
        <w:rPr>
          <w:color w:val="auto"/>
        </w:rPr>
        <w:t xml:space="preserve">    </w:t>
      </w:r>
      <w:r>
        <w:rPr>
          <w:rFonts w:hint="eastAsia"/>
          <w:color w:val="auto"/>
        </w:rPr>
        <w:t>（</w:t>
      </w:r>
      <w:r>
        <w:rPr>
          <w:color w:val="auto"/>
        </w:rPr>
        <w:t>3</w:t>
      </w:r>
      <w:r>
        <w:rPr>
          <w:rFonts w:hint="eastAsia"/>
          <w:color w:val="auto"/>
        </w:rPr>
        <w:t>）联系地址：海口市秀英区秀华路2号</w:t>
      </w:r>
    </w:p>
    <w:p>
      <w:pPr>
        <w:spacing w:line="560" w:lineRule="exact"/>
        <w:ind w:firstLine="640" w:firstLineChars="200"/>
        <w:rPr>
          <w:color w:val="auto"/>
        </w:rPr>
      </w:pPr>
      <w:r>
        <w:rPr>
          <w:rFonts w:hint="eastAsia"/>
          <w:color w:val="auto"/>
        </w:rPr>
        <w:t>（</w:t>
      </w:r>
      <w:r>
        <w:rPr>
          <w:color w:val="auto"/>
        </w:rPr>
        <w:t>4</w:t>
      </w:r>
      <w:r>
        <w:rPr>
          <w:rFonts w:hint="eastAsia"/>
          <w:color w:val="auto"/>
        </w:rPr>
        <w:t>）</w:t>
      </w:r>
      <w:r>
        <w:rPr>
          <w:rFonts w:hint="eastAsia" w:ascii="仿宋_GB2312" w:hAnsi="仿宋_GB2312"/>
          <w:color w:val="auto"/>
        </w:rPr>
        <w:t>服务流程：楼宇及驻楼企业需要成立党组织、驻楼企业职工党员党组织关系转接、党费收缴业务咨询、加入党建联盟、设立党群服务站、参与社区服务活动、开展党建活动服务的，可以拨打联系电话，区委组织部将有工作人员上门提供“一对一”服务。</w:t>
      </w:r>
      <w:r>
        <w:rPr>
          <w:color w:val="auto"/>
        </w:rPr>
        <w:t xml:space="preserve"> </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）申请资料：拨打电话申请即可。</w:t>
      </w:r>
      <w:r>
        <w:rPr>
          <w:color w:val="auto"/>
        </w:rPr>
        <w:t xml:space="preserve"> </w:t>
      </w:r>
    </w:p>
    <w:p>
      <w:pPr>
        <w:pStyle w:val="30"/>
        <w:spacing w:line="560" w:lineRule="exact"/>
        <w:outlineLvl w:val="1"/>
        <w:rPr>
          <w:rFonts w:ascii="Times New Roman" w:hAnsi="Times New Roman"/>
          <w:b w:val="0"/>
          <w:bCs w:val="0"/>
        </w:rPr>
      </w:pPr>
      <w:bookmarkStart w:id="8" w:name="_Toc156320041"/>
      <w:bookmarkStart w:id="9" w:name="_Toc163392925"/>
      <w:r>
        <w:rPr>
          <w:rFonts w:hint="eastAsia" w:ascii="Times New Roman" w:hAnsi="Times New Roman"/>
          <w:b w:val="0"/>
          <w:bCs w:val="0"/>
        </w:rPr>
        <w:t>（二）支持楼宇设置政务服务点</w:t>
      </w:r>
      <w:bookmarkEnd w:id="8"/>
      <w:bookmarkEnd w:id="9"/>
    </w:p>
    <w:p>
      <w:pPr>
        <w:spacing w:line="560" w:lineRule="exact"/>
        <w:ind w:firstLine="640" w:firstLineChars="200"/>
        <w:rPr>
          <w:color w:val="auto"/>
        </w:rPr>
      </w:pPr>
      <w:r>
        <w:rPr>
          <w:rFonts w:hint="eastAsia"/>
          <w:color w:val="auto"/>
        </w:rPr>
        <w:t>（1）职能部门：区营商环境局</w:t>
      </w:r>
    </w:p>
    <w:p>
      <w:pPr>
        <w:spacing w:line="560" w:lineRule="exact"/>
        <w:ind w:left="640" w:leftChars="200"/>
        <w:rPr>
          <w:color w:val="auto"/>
        </w:rPr>
      </w:pPr>
      <w:r>
        <w:rPr>
          <w:rFonts w:hint="eastAsia"/>
          <w:color w:val="auto"/>
        </w:rPr>
        <w:t>（</w:t>
      </w:r>
      <w:r>
        <w:rPr>
          <w:color w:val="auto"/>
        </w:rPr>
        <w:t>2</w:t>
      </w:r>
      <w:r>
        <w:rPr>
          <w:rFonts w:hint="eastAsia"/>
          <w:color w:val="auto"/>
        </w:rPr>
        <w:t>）联系电话：0898-</w:t>
      </w:r>
      <w:r>
        <w:rPr>
          <w:color w:val="auto"/>
        </w:rPr>
        <w:t xml:space="preserve">68635741 </w:t>
      </w:r>
      <w:r>
        <w:rPr>
          <w:color w:val="auto"/>
        </w:rPr>
        <w:br w:type="textWrapping"/>
      </w:r>
      <w:r>
        <w:rPr>
          <w:rFonts w:hint="eastAsia"/>
          <w:color w:val="auto"/>
        </w:rPr>
        <w:t>（</w:t>
      </w:r>
      <w:r>
        <w:rPr>
          <w:color w:val="auto"/>
        </w:rPr>
        <w:t>3</w:t>
      </w:r>
      <w:r>
        <w:rPr>
          <w:rFonts w:hint="eastAsia"/>
          <w:color w:val="auto"/>
        </w:rPr>
        <w:t>）联系地址：海口市秀英区丘海大道30号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）服务流程：楼宇企业提供申请资料，由相关工作人员现场踏勘，呈局党组会讨论决定。</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①楼宇企业设置政务服务点申请书；</w:t>
      </w:r>
      <w:r>
        <w:rPr>
          <w:color w:val="auto"/>
        </w:rPr>
        <w:t xml:space="preserve"> </w:t>
      </w:r>
    </w:p>
    <w:p>
      <w:pPr>
        <w:spacing w:line="560" w:lineRule="exact"/>
        <w:ind w:firstLine="640" w:firstLineChars="200"/>
        <w:rPr>
          <w:color w:val="auto"/>
        </w:rPr>
      </w:pPr>
      <w:r>
        <w:rPr>
          <w:rFonts w:hint="eastAsia"/>
          <w:color w:val="auto"/>
        </w:rPr>
        <w:t>②商务楼宇提供：设置咨询导办服务台、展示事项清单的电子屏、办公设备（电脑、打印机）、放置综合自助设备场所、具备政务外网网络环境的照片佐证材料；</w:t>
      </w:r>
      <w:r>
        <w:rPr>
          <w:color w:val="auto"/>
        </w:rPr>
        <w:t xml:space="preserve"> </w:t>
      </w:r>
    </w:p>
    <w:p>
      <w:pPr>
        <w:spacing w:line="560" w:lineRule="exact"/>
        <w:ind w:firstLine="640" w:firstLineChars="200"/>
        <w:rPr>
          <w:color w:val="auto"/>
        </w:rPr>
      </w:pPr>
      <w:r>
        <w:rPr>
          <w:rFonts w:hint="eastAsia"/>
          <w:color w:val="auto"/>
        </w:rPr>
        <w:t>③申报主体的统一社会信用代码营业执照复印件、法定代表人身份证复印件、项目经办人身份证复印件、法定代表人授权委托证明书、法定代表人身份证明书；</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10" w:name="_Toc156320042"/>
      <w:bookmarkStart w:id="11" w:name="_Toc163392926"/>
      <w:r>
        <w:rPr>
          <w:rFonts w:hint="eastAsia" w:ascii="Times New Roman" w:hAnsi="Times New Roman"/>
          <w:b w:val="0"/>
          <w:bCs w:val="0"/>
        </w:rPr>
        <w:t>（三）支持楼宇设置政务服务绿色专窗</w:t>
      </w:r>
      <w:bookmarkEnd w:id="10"/>
      <w:bookmarkEnd w:id="11"/>
    </w:p>
    <w:p>
      <w:pPr>
        <w:spacing w:line="560" w:lineRule="exact"/>
        <w:ind w:firstLine="640" w:firstLineChars="200"/>
        <w:rPr>
          <w:color w:val="auto"/>
        </w:rPr>
      </w:pPr>
      <w:r>
        <w:rPr>
          <w:rFonts w:hint="eastAsia"/>
          <w:color w:val="auto"/>
        </w:rPr>
        <w:t>（1）职能部门：区营商环境局</w:t>
      </w:r>
    </w:p>
    <w:p>
      <w:pPr>
        <w:spacing w:line="560" w:lineRule="exact"/>
        <w:ind w:left="640" w:leftChars="200"/>
        <w:rPr>
          <w:color w:val="auto"/>
        </w:rPr>
      </w:pPr>
      <w:r>
        <w:rPr>
          <w:rFonts w:hint="eastAsia"/>
          <w:color w:val="auto"/>
        </w:rPr>
        <w:t>（</w:t>
      </w:r>
      <w:r>
        <w:rPr>
          <w:color w:val="auto"/>
        </w:rPr>
        <w:t>2</w:t>
      </w:r>
      <w:r>
        <w:rPr>
          <w:rFonts w:hint="eastAsia"/>
          <w:color w:val="auto"/>
        </w:rPr>
        <w:t>）联系电话：0898-</w:t>
      </w:r>
      <w:r>
        <w:rPr>
          <w:color w:val="auto"/>
        </w:rPr>
        <w:t>68635741</w:t>
      </w:r>
      <w:r>
        <w:rPr>
          <w:color w:val="auto"/>
        </w:rPr>
        <w:br w:type="textWrapping"/>
      </w:r>
      <w:r>
        <w:rPr>
          <w:rFonts w:hint="eastAsia"/>
          <w:color w:val="auto"/>
        </w:rPr>
        <w:t>（</w:t>
      </w:r>
      <w:r>
        <w:rPr>
          <w:color w:val="auto"/>
        </w:rPr>
        <w:t>3</w:t>
      </w:r>
      <w:r>
        <w:rPr>
          <w:rFonts w:hint="eastAsia"/>
          <w:color w:val="auto"/>
        </w:rPr>
        <w:t>）联系地址：海口市秀英区丘海大道30号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）服务流程：楼宇企业提出申请，由青年文明号服务窗口提供一对一服务。</w:t>
      </w:r>
      <w:r>
        <w:rPr>
          <w:color w:val="auto"/>
        </w:rPr>
        <w:t xml:space="preserve"> </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①楼宇企业设置政务服务绿色专窗申请书；</w:t>
      </w:r>
      <w:r>
        <w:rPr>
          <w:color w:val="auto"/>
        </w:rPr>
        <w:t xml:space="preserve"> </w:t>
      </w:r>
    </w:p>
    <w:p>
      <w:pPr>
        <w:spacing w:line="560" w:lineRule="exact"/>
        <w:ind w:firstLine="640" w:firstLineChars="200"/>
        <w:rPr>
          <w:color w:val="auto"/>
        </w:rPr>
      </w:pPr>
      <w:r>
        <w:rPr>
          <w:rFonts w:hint="eastAsia"/>
          <w:color w:val="auto"/>
        </w:rPr>
        <w:t>②申报主体的统一社会信用代码营业执照复印件、法定代表人身份证复印件、项目经办人身份证复印件、法定代表人授权委托证明书、法定代表人身份证明书；</w:t>
      </w:r>
      <w:r>
        <w:rPr>
          <w:color w:val="auto"/>
        </w:rPr>
        <w:t xml:space="preserve"> </w:t>
      </w:r>
    </w:p>
    <w:p>
      <w:pPr>
        <w:spacing w:line="560" w:lineRule="exact"/>
        <w:ind w:firstLine="640" w:firstLineChars="200"/>
        <w:rPr>
          <w:color w:val="auto"/>
        </w:rPr>
      </w:pPr>
      <w:r>
        <w:rPr>
          <w:rFonts w:hint="eastAsia"/>
          <w:color w:val="auto"/>
        </w:rPr>
        <w:t>③楼宇企业信用资质证明或其他同类相关资质证明材料；</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12" w:name="_Toc163392927"/>
      <w:bookmarkStart w:id="13" w:name="_Toc156320043"/>
      <w:r>
        <w:rPr>
          <w:rFonts w:hint="eastAsia" w:ascii="Times New Roman" w:hAnsi="Times New Roman"/>
          <w:b w:val="0"/>
          <w:bCs w:val="0"/>
        </w:rPr>
        <w:t>（四）支持线上绿色通道服务</w:t>
      </w:r>
      <w:bookmarkEnd w:id="12"/>
      <w:bookmarkEnd w:id="13"/>
    </w:p>
    <w:p>
      <w:pPr>
        <w:spacing w:line="560" w:lineRule="exact"/>
        <w:ind w:firstLine="640" w:firstLineChars="200"/>
        <w:rPr>
          <w:color w:val="auto"/>
        </w:rPr>
      </w:pPr>
      <w:r>
        <w:rPr>
          <w:rFonts w:hint="eastAsia"/>
          <w:color w:val="auto"/>
        </w:rPr>
        <w:t>（1）职能部门：市场监督管理局秀英分局</w:t>
      </w:r>
    </w:p>
    <w:p>
      <w:pPr>
        <w:spacing w:line="560" w:lineRule="exact"/>
        <w:ind w:left="640" w:leftChars="200"/>
        <w:rPr>
          <w:color w:val="auto"/>
        </w:rPr>
      </w:pPr>
      <w:r>
        <w:rPr>
          <w:rFonts w:hint="eastAsia"/>
          <w:color w:val="auto"/>
        </w:rPr>
        <w:t>（</w:t>
      </w:r>
      <w:r>
        <w:rPr>
          <w:color w:val="auto"/>
        </w:rPr>
        <w:t>2</w:t>
      </w:r>
      <w:r>
        <w:rPr>
          <w:rFonts w:hint="eastAsia"/>
          <w:color w:val="auto"/>
        </w:rPr>
        <w:t>）联系电话：线上绿色通道业务拨打</w:t>
      </w:r>
      <w:r>
        <w:rPr>
          <w:color w:val="auto"/>
        </w:rPr>
        <w:t>0898</w:t>
      </w:r>
      <w:r>
        <w:rPr>
          <w:rFonts w:hint="eastAsia"/>
          <w:color w:val="auto"/>
        </w:rPr>
        <w:t>-68636172，日常业务咨询请拨打4007965656。</w:t>
      </w:r>
      <w:r>
        <w:rPr>
          <w:color w:val="auto"/>
        </w:rPr>
        <w:br w:type="textWrapping"/>
      </w:r>
      <w:r>
        <w:rPr>
          <w:rFonts w:hint="eastAsia"/>
          <w:color w:val="auto"/>
        </w:rPr>
        <w:t>（</w:t>
      </w:r>
      <w:r>
        <w:rPr>
          <w:color w:val="auto"/>
        </w:rPr>
        <w:t>3</w:t>
      </w:r>
      <w:r>
        <w:rPr>
          <w:rFonts w:hint="eastAsia"/>
          <w:color w:val="auto"/>
        </w:rPr>
        <w:t>）联系地址：海口市秀英区美华路10号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w:t>
      </w:r>
    </w:p>
    <w:p>
      <w:pPr>
        <w:spacing w:line="560" w:lineRule="exact"/>
        <w:ind w:firstLine="640" w:firstLineChars="200"/>
        <w:rPr>
          <w:color w:val="auto"/>
        </w:rPr>
      </w:pPr>
      <w:r>
        <w:rPr>
          <w:rFonts w:hint="eastAsia"/>
          <w:color w:val="auto"/>
        </w:rPr>
        <w:t>①由于目前企业开办全程网办，通过指导楼宇代办人员e登记网上操作流程，提供业务办事指南及业务指导，确保楼宇入驻企业能够掌握顺利在e登记完成申请；</w:t>
      </w:r>
    </w:p>
    <w:p>
      <w:pPr>
        <w:spacing w:line="560" w:lineRule="exact"/>
        <w:ind w:firstLine="640" w:firstLineChars="200"/>
        <w:rPr>
          <w:color w:val="auto"/>
        </w:rPr>
      </w:pPr>
      <w:r>
        <w:rPr>
          <w:rFonts w:hint="eastAsia"/>
          <w:color w:val="auto"/>
        </w:rPr>
        <w:t>②对于政府招商引资重点企业项目，凭政府函件文件开通线上绿色通道，一对一专人对接。</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①《登记（备案）申请书》（可自动生成）；</w:t>
      </w:r>
    </w:p>
    <w:p>
      <w:pPr>
        <w:spacing w:line="560" w:lineRule="exact"/>
        <w:ind w:firstLine="640" w:firstLineChars="200"/>
        <w:rPr>
          <w:color w:val="auto"/>
        </w:rPr>
      </w:pPr>
      <w:r>
        <w:rPr>
          <w:rFonts w:hint="eastAsia"/>
          <w:color w:val="auto"/>
        </w:rPr>
        <w:t>②章程（有限责任公司由全体股东签署，股份有限公司由全体发起人签署）或合伙协议；</w:t>
      </w:r>
    </w:p>
    <w:p>
      <w:pPr>
        <w:spacing w:line="560" w:lineRule="exact"/>
        <w:ind w:firstLine="640" w:firstLineChars="200"/>
        <w:rPr>
          <w:color w:val="auto"/>
        </w:rPr>
      </w:pPr>
      <w:r>
        <w:rPr>
          <w:rFonts w:hint="eastAsia"/>
          <w:color w:val="auto"/>
        </w:rPr>
        <w:t>③投资人、管理人员的主体资格文件或自然人身份证明；</w:t>
      </w:r>
    </w:p>
    <w:p>
      <w:pPr>
        <w:spacing w:line="560" w:lineRule="exact"/>
        <w:ind w:firstLine="640" w:firstLineChars="200"/>
        <w:rPr>
          <w:color w:val="auto"/>
        </w:rPr>
      </w:pPr>
      <w:r>
        <w:rPr>
          <w:rFonts w:hint="eastAsia"/>
          <w:color w:val="auto"/>
        </w:rPr>
        <w:t>④涉及前置许可的需相关部门批复文件。</w:t>
      </w:r>
    </w:p>
    <w:p>
      <w:pPr>
        <w:pStyle w:val="30"/>
        <w:spacing w:line="560" w:lineRule="exact"/>
        <w:outlineLvl w:val="1"/>
        <w:rPr>
          <w:rFonts w:ascii="Times New Roman" w:hAnsi="Times New Roman"/>
          <w:b w:val="0"/>
          <w:bCs w:val="0"/>
        </w:rPr>
      </w:pPr>
      <w:bookmarkStart w:id="14" w:name="_Toc163392928"/>
      <w:bookmarkStart w:id="15" w:name="_Toc156320044"/>
      <w:r>
        <w:rPr>
          <w:rFonts w:hint="eastAsia" w:ascii="Times New Roman" w:hAnsi="Times New Roman"/>
          <w:b w:val="0"/>
          <w:bCs w:val="0"/>
        </w:rPr>
        <w:t>（五）支持专业化司法服务</w:t>
      </w:r>
      <w:bookmarkEnd w:id="14"/>
      <w:bookmarkEnd w:id="15"/>
    </w:p>
    <w:p>
      <w:pPr>
        <w:spacing w:line="560" w:lineRule="exact"/>
        <w:ind w:firstLine="640" w:firstLineChars="200"/>
        <w:rPr>
          <w:color w:val="auto"/>
        </w:rPr>
      </w:pPr>
      <w:r>
        <w:rPr>
          <w:rFonts w:hint="eastAsia"/>
          <w:color w:val="auto"/>
        </w:rPr>
        <w:t>（1）职能部门：区法院</w:t>
      </w:r>
    </w:p>
    <w:p>
      <w:pPr>
        <w:spacing w:line="560" w:lineRule="exact"/>
        <w:ind w:left="640" w:leftChars="200"/>
        <w:rPr>
          <w:color w:val="auto"/>
        </w:rPr>
      </w:pPr>
      <w:r>
        <w:rPr>
          <w:rFonts w:hint="eastAsia"/>
          <w:color w:val="auto"/>
        </w:rPr>
        <w:t>（</w:t>
      </w:r>
      <w:r>
        <w:rPr>
          <w:color w:val="auto"/>
        </w:rPr>
        <w:t>2</w:t>
      </w:r>
      <w:r>
        <w:rPr>
          <w:rFonts w:hint="eastAsia"/>
          <w:color w:val="auto"/>
        </w:rPr>
        <w:t>）联系电话：</w:t>
      </w:r>
      <w:r>
        <w:rPr>
          <w:color w:val="auto"/>
        </w:rPr>
        <w:t xml:space="preserve">12368 </w:t>
      </w:r>
      <w:r>
        <w:rPr>
          <w:color w:val="auto"/>
        </w:rPr>
        <w:br w:type="textWrapping"/>
      </w:r>
      <w:r>
        <w:rPr>
          <w:rFonts w:hint="eastAsia"/>
          <w:color w:val="auto"/>
        </w:rPr>
        <w:t>（</w:t>
      </w:r>
      <w:r>
        <w:rPr>
          <w:color w:val="auto"/>
        </w:rPr>
        <w:t>3</w:t>
      </w:r>
      <w:r>
        <w:rPr>
          <w:rFonts w:hint="eastAsia"/>
          <w:color w:val="auto"/>
        </w:rPr>
        <w:t>）联系地址：海口市秀英区滨海大道西255号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w:t>
      </w:r>
      <w:r>
        <w:rPr>
          <w:color w:val="auto"/>
        </w:rPr>
        <w:t>人民法院在线服务</w:t>
      </w:r>
      <w:r>
        <w:rPr>
          <w:rFonts w:hint="eastAsia"/>
          <w:color w:val="auto"/>
        </w:rPr>
        <w:t>。</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r>
        <w:rPr>
          <w:color w:val="auto"/>
        </w:rPr>
        <w:t>按照人民法院在线服务内容提示准备资料</w:t>
      </w:r>
      <w:r>
        <w:rPr>
          <w:rFonts w:hint="eastAsia"/>
          <w:color w:val="auto"/>
        </w:rPr>
        <w:t>。</w:t>
      </w:r>
    </w:p>
    <w:p>
      <w:pPr>
        <w:pStyle w:val="30"/>
        <w:spacing w:line="560" w:lineRule="exact"/>
        <w:outlineLvl w:val="1"/>
        <w:rPr>
          <w:rFonts w:ascii="Times New Roman" w:hAnsi="Times New Roman"/>
          <w:b w:val="0"/>
          <w:bCs w:val="0"/>
        </w:rPr>
      </w:pPr>
      <w:bookmarkStart w:id="16" w:name="_Toc163392929"/>
      <w:bookmarkStart w:id="17" w:name="_Toc156320045"/>
      <w:r>
        <w:rPr>
          <w:rFonts w:hint="eastAsia" w:ascii="Times New Roman" w:hAnsi="Times New Roman"/>
          <w:b w:val="0"/>
          <w:bCs w:val="0"/>
        </w:rPr>
        <w:t>（六）支持定制性与便捷性税务服务</w:t>
      </w:r>
      <w:bookmarkEnd w:id="16"/>
      <w:bookmarkEnd w:id="17"/>
    </w:p>
    <w:p>
      <w:pPr>
        <w:spacing w:line="560" w:lineRule="exact"/>
        <w:ind w:firstLine="640" w:firstLineChars="200"/>
        <w:rPr>
          <w:color w:val="auto"/>
        </w:rPr>
      </w:pPr>
      <w:r>
        <w:rPr>
          <w:rFonts w:hint="eastAsia"/>
          <w:color w:val="auto"/>
        </w:rPr>
        <w:t>（1）职能部门：区税务局</w:t>
      </w:r>
    </w:p>
    <w:p>
      <w:pPr>
        <w:spacing w:line="560" w:lineRule="exact"/>
        <w:ind w:left="640" w:leftChars="200"/>
        <w:rPr>
          <w:color w:val="auto"/>
        </w:rPr>
      </w:pPr>
      <w:r>
        <w:rPr>
          <w:rFonts w:hint="eastAsia"/>
          <w:color w:val="auto"/>
        </w:rPr>
        <w:t>（</w:t>
      </w:r>
      <w:r>
        <w:rPr>
          <w:color w:val="auto"/>
        </w:rPr>
        <w:t>2</w:t>
      </w:r>
      <w:r>
        <w:rPr>
          <w:rFonts w:hint="eastAsia"/>
          <w:color w:val="auto"/>
        </w:rPr>
        <w:t>）联系电话：</w:t>
      </w:r>
      <w:r>
        <w:rPr>
          <w:color w:val="auto"/>
        </w:rPr>
        <w:t>0898-68653382</w:t>
      </w:r>
      <w:r>
        <w:rPr>
          <w:color w:val="auto"/>
        </w:rPr>
        <w:br w:type="textWrapping"/>
      </w:r>
      <w:r>
        <w:rPr>
          <w:rFonts w:hint="eastAsia"/>
          <w:color w:val="auto"/>
        </w:rPr>
        <w:t>（</w:t>
      </w:r>
      <w:r>
        <w:rPr>
          <w:color w:val="auto"/>
        </w:rPr>
        <w:t>3</w:t>
      </w:r>
      <w:r>
        <w:rPr>
          <w:rFonts w:hint="eastAsia"/>
          <w:color w:val="auto"/>
        </w:rPr>
        <w:t>）联系地址：海口市秀英区长滨路东四街10号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）服务流程：楼宇企业向税务服务专员提出税费政策辅导诉求—区税务局组建党员先锋队上门辅导。</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）申请资料：无</w:t>
      </w:r>
    </w:p>
    <w:p>
      <w:pPr>
        <w:pStyle w:val="30"/>
        <w:spacing w:line="560" w:lineRule="exact"/>
        <w:outlineLvl w:val="1"/>
        <w:rPr>
          <w:rFonts w:ascii="Times New Roman" w:hAnsi="Times New Roman"/>
          <w:b w:val="0"/>
          <w:bCs w:val="0"/>
        </w:rPr>
      </w:pPr>
      <w:bookmarkStart w:id="18" w:name="_Toc163392930"/>
      <w:bookmarkStart w:id="19" w:name="_Toc156320046"/>
      <w:r>
        <w:rPr>
          <w:rFonts w:hint="eastAsia" w:ascii="Times New Roman" w:hAnsi="Times New Roman"/>
          <w:b w:val="0"/>
          <w:bCs w:val="0"/>
        </w:rPr>
        <w:t>（七）支持优先服务保障企业用工</w:t>
      </w:r>
      <w:bookmarkEnd w:id="18"/>
      <w:bookmarkEnd w:id="19"/>
    </w:p>
    <w:p>
      <w:pPr>
        <w:spacing w:line="560" w:lineRule="exact"/>
        <w:ind w:firstLine="640" w:firstLineChars="200"/>
        <w:rPr>
          <w:color w:val="auto"/>
        </w:rPr>
      </w:pPr>
      <w:r>
        <w:rPr>
          <w:rFonts w:hint="eastAsia"/>
          <w:color w:val="auto"/>
        </w:rPr>
        <w:t>（1）职能部门：区人社局</w:t>
      </w:r>
    </w:p>
    <w:p>
      <w:pPr>
        <w:spacing w:line="560" w:lineRule="exact"/>
        <w:ind w:left="640" w:leftChars="200"/>
        <w:rPr>
          <w:color w:val="auto"/>
        </w:rPr>
      </w:pPr>
      <w:r>
        <w:rPr>
          <w:rFonts w:hint="eastAsia"/>
          <w:color w:val="auto"/>
        </w:rPr>
        <w:t>（</w:t>
      </w:r>
      <w:r>
        <w:rPr>
          <w:color w:val="auto"/>
        </w:rPr>
        <w:t>2</w:t>
      </w:r>
      <w:r>
        <w:rPr>
          <w:rFonts w:hint="eastAsia"/>
          <w:color w:val="auto"/>
        </w:rPr>
        <w:t>）联系电话：0</w:t>
      </w:r>
      <w:r>
        <w:rPr>
          <w:color w:val="auto"/>
        </w:rPr>
        <w:t xml:space="preserve">898-68666725 </w:t>
      </w:r>
      <w:r>
        <w:rPr>
          <w:color w:val="auto"/>
        </w:rPr>
        <w:br w:type="textWrapping"/>
      </w:r>
      <w:r>
        <w:rPr>
          <w:rFonts w:hint="eastAsia"/>
          <w:color w:val="auto"/>
        </w:rPr>
        <w:t>（</w:t>
      </w:r>
      <w:r>
        <w:rPr>
          <w:color w:val="auto"/>
        </w:rPr>
        <w:t>3</w:t>
      </w:r>
      <w:r>
        <w:rPr>
          <w:rFonts w:hint="eastAsia"/>
          <w:color w:val="auto"/>
        </w:rPr>
        <w:t>）联系地址：海口市秀英区秀华路4-1号3层</w:t>
      </w:r>
    </w:p>
    <w:p>
      <w:pPr>
        <w:spacing w:line="560" w:lineRule="exact"/>
        <w:ind w:left="640" w:leftChars="200"/>
        <w:rPr>
          <w:color w:val="auto"/>
        </w:rPr>
      </w:pPr>
      <w:r>
        <w:rPr>
          <w:rFonts w:hint="eastAsia"/>
          <w:color w:val="auto"/>
        </w:rPr>
        <w:t>（</w:t>
      </w:r>
      <w:r>
        <w:rPr>
          <w:color w:val="auto"/>
        </w:rPr>
        <w:t>4</w:t>
      </w:r>
      <w:r>
        <w:rPr>
          <w:rFonts w:hint="eastAsia"/>
          <w:color w:val="auto"/>
        </w:rPr>
        <w:t>）服务流程：帮助用人企业在“秀英就业”公众号发布招聘信息。</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）申请资料：企业营业执照、招聘简章、申请人（经办人）身份证复印件。</w:t>
      </w:r>
    </w:p>
    <w:p>
      <w:pPr>
        <w:pStyle w:val="30"/>
        <w:spacing w:line="560" w:lineRule="exact"/>
        <w:outlineLvl w:val="1"/>
        <w:rPr>
          <w:rFonts w:ascii="Times New Roman" w:hAnsi="Times New Roman"/>
          <w:b w:val="0"/>
          <w:bCs w:val="0"/>
        </w:rPr>
      </w:pPr>
      <w:bookmarkStart w:id="20" w:name="_Toc163392931"/>
      <w:bookmarkStart w:id="21" w:name="_Toc156320047"/>
      <w:r>
        <w:rPr>
          <w:rFonts w:hint="eastAsia" w:ascii="Times New Roman" w:hAnsi="Times New Roman"/>
          <w:b w:val="0"/>
          <w:bCs w:val="0"/>
        </w:rPr>
        <w:t>（八）支持加大高管和高层次人才保障力度</w:t>
      </w:r>
      <w:bookmarkEnd w:id="20"/>
      <w:bookmarkEnd w:id="21"/>
    </w:p>
    <w:p>
      <w:pPr>
        <w:spacing w:line="560" w:lineRule="exact"/>
        <w:ind w:firstLine="640" w:firstLineChars="200"/>
        <w:rPr>
          <w:color w:val="auto"/>
        </w:rPr>
      </w:pPr>
      <w:r>
        <w:rPr>
          <w:rFonts w:hint="eastAsia"/>
          <w:color w:val="auto"/>
        </w:rPr>
        <w:t>1.住房租赁补贴</w:t>
      </w:r>
    </w:p>
    <w:p>
      <w:pPr>
        <w:spacing w:line="560" w:lineRule="exact"/>
        <w:ind w:firstLine="640" w:firstLineChars="200"/>
        <w:rPr>
          <w:color w:val="auto"/>
        </w:rPr>
      </w:pPr>
      <w:r>
        <w:rPr>
          <w:rFonts w:hint="eastAsia"/>
          <w:color w:val="auto"/>
        </w:rPr>
        <w:t>（1）职能部门：区营商环境局</w:t>
      </w:r>
    </w:p>
    <w:p>
      <w:pPr>
        <w:spacing w:line="560" w:lineRule="exact"/>
        <w:ind w:left="640" w:leftChars="200"/>
        <w:rPr>
          <w:color w:val="auto"/>
        </w:rPr>
      </w:pPr>
      <w:r>
        <w:rPr>
          <w:rFonts w:hint="eastAsia"/>
          <w:color w:val="auto"/>
        </w:rPr>
        <w:t>（2）联系电话：0898-68614192</w:t>
      </w:r>
      <w:r>
        <w:rPr>
          <w:color w:val="auto"/>
        </w:rPr>
        <w:t xml:space="preserve"> </w:t>
      </w:r>
      <w:r>
        <w:rPr>
          <w:color w:val="auto"/>
        </w:rPr>
        <w:br w:type="textWrapping"/>
      </w:r>
      <w:r>
        <w:rPr>
          <w:rFonts w:hint="eastAsia"/>
          <w:color w:val="auto"/>
        </w:rPr>
        <w:t>（</w:t>
      </w:r>
      <w:r>
        <w:rPr>
          <w:color w:val="auto"/>
        </w:rPr>
        <w:t>3</w:t>
      </w:r>
      <w:r>
        <w:rPr>
          <w:rFonts w:hint="eastAsia"/>
          <w:color w:val="auto"/>
        </w:rPr>
        <w:t>）联系地址：海口市秀英区丘海大道30号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）服务流程：受理—审核—审批—办结。</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①学历学位证书/国外学历学位认证书/职业资格证书（技能等级证书）/职称证书；</w:t>
      </w:r>
    </w:p>
    <w:p>
      <w:pPr>
        <w:spacing w:line="560" w:lineRule="exact"/>
        <w:ind w:firstLine="640" w:firstLineChars="200"/>
        <w:rPr>
          <w:color w:val="auto"/>
        </w:rPr>
      </w:pPr>
      <w:r>
        <w:rPr>
          <w:rFonts w:hint="eastAsia"/>
          <w:color w:val="auto"/>
        </w:rPr>
        <w:t>②经房管部门备案的租赁证明/经房管部门备案的购房备案证明；</w:t>
      </w:r>
    </w:p>
    <w:p>
      <w:pPr>
        <w:spacing w:line="560" w:lineRule="exact"/>
        <w:ind w:firstLine="640" w:firstLineChars="200"/>
        <w:rPr>
          <w:color w:val="auto"/>
        </w:rPr>
      </w:pPr>
      <w:r>
        <w:rPr>
          <w:rFonts w:hint="eastAsia"/>
          <w:color w:val="auto"/>
        </w:rPr>
        <w:t>③劳动（聘用）合同；</w:t>
      </w:r>
    </w:p>
    <w:p>
      <w:pPr>
        <w:spacing w:line="560" w:lineRule="exact"/>
        <w:ind w:firstLine="640" w:firstLineChars="200"/>
        <w:rPr>
          <w:color w:val="auto"/>
        </w:rPr>
      </w:pPr>
      <w:r>
        <w:rPr>
          <w:rFonts w:hint="eastAsia"/>
          <w:color w:val="auto"/>
        </w:rPr>
        <w:t>④单位公示情况材料；</w:t>
      </w:r>
    </w:p>
    <w:p>
      <w:pPr>
        <w:spacing w:line="560" w:lineRule="exact"/>
        <w:ind w:firstLine="640" w:firstLineChars="200"/>
        <w:rPr>
          <w:color w:val="auto"/>
        </w:rPr>
      </w:pPr>
      <w:r>
        <w:rPr>
          <w:rFonts w:hint="eastAsia"/>
          <w:color w:val="auto"/>
        </w:rPr>
        <w:t>⑤引进人才住房补贴承诺书；</w:t>
      </w:r>
    </w:p>
    <w:p>
      <w:pPr>
        <w:spacing w:line="560" w:lineRule="exact"/>
        <w:ind w:firstLine="640" w:firstLineChars="200"/>
        <w:rPr>
          <w:color w:val="auto"/>
        </w:rPr>
      </w:pPr>
      <w:r>
        <w:rPr>
          <w:rFonts w:hint="eastAsia"/>
          <w:color w:val="auto"/>
        </w:rPr>
        <w:t>⑥单位公示情况材料和附件公示名单。</w:t>
      </w:r>
    </w:p>
    <w:p>
      <w:pPr>
        <w:spacing w:line="560" w:lineRule="exact"/>
        <w:ind w:firstLine="640" w:firstLineChars="200"/>
        <w:rPr>
          <w:color w:val="auto"/>
        </w:rPr>
      </w:pPr>
      <w:r>
        <w:rPr>
          <w:rFonts w:hint="eastAsia"/>
          <w:color w:val="auto"/>
        </w:rPr>
        <w:t>注：如是公益一类或二类还应上传事业单位法人证书/事业单位编制方案；如是个体工商户或自主创业企业法人还应上传工商营业执照（以个人所得税缴纳记录申请的还需上传个税缴纳记录）；以配偶名义申请的须上传结婚证。</w:t>
      </w:r>
    </w:p>
    <w:p>
      <w:pPr>
        <w:spacing w:line="560" w:lineRule="exact"/>
        <w:ind w:firstLine="640" w:firstLineChars="200"/>
        <w:rPr>
          <w:color w:val="auto"/>
        </w:rPr>
      </w:pPr>
      <w:r>
        <w:rPr>
          <w:rFonts w:hint="eastAsia"/>
          <w:color w:val="auto"/>
        </w:rPr>
        <w:t>2.安居房申购</w:t>
      </w:r>
    </w:p>
    <w:p>
      <w:pPr>
        <w:spacing w:line="560" w:lineRule="exact"/>
        <w:ind w:firstLine="640" w:firstLineChars="200"/>
        <w:rPr>
          <w:color w:val="auto"/>
        </w:rPr>
      </w:pPr>
      <w:r>
        <w:rPr>
          <w:rFonts w:hint="eastAsia"/>
          <w:color w:val="auto"/>
        </w:rPr>
        <w:t>（1）职能部门：区营商环境局</w:t>
      </w:r>
    </w:p>
    <w:p>
      <w:pPr>
        <w:spacing w:line="560" w:lineRule="exact"/>
        <w:ind w:left="640" w:leftChars="200"/>
        <w:rPr>
          <w:color w:val="auto"/>
        </w:rPr>
      </w:pPr>
      <w:r>
        <w:rPr>
          <w:rFonts w:hint="eastAsia"/>
          <w:color w:val="auto"/>
        </w:rPr>
        <w:t>（2）联系电话：0898-68623427</w:t>
      </w:r>
      <w:r>
        <w:rPr>
          <w:color w:val="auto"/>
        </w:rPr>
        <w:br w:type="textWrapping"/>
      </w:r>
      <w:r>
        <w:rPr>
          <w:rFonts w:hint="eastAsia"/>
          <w:color w:val="auto"/>
        </w:rPr>
        <w:t>（</w:t>
      </w:r>
      <w:r>
        <w:rPr>
          <w:color w:val="auto"/>
        </w:rPr>
        <w:t>3</w:t>
      </w:r>
      <w:r>
        <w:rPr>
          <w:rFonts w:hint="eastAsia"/>
          <w:color w:val="auto"/>
        </w:rPr>
        <w:t>）联系地址：海口市秀英区丘海大道30号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）服务流程：受理—审核—审批—办结。</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①《海口市安居型商品住房申请表》；</w:t>
      </w:r>
    </w:p>
    <w:p>
      <w:pPr>
        <w:spacing w:line="560" w:lineRule="exact"/>
        <w:ind w:firstLine="640" w:firstLineChars="200"/>
        <w:rPr>
          <w:color w:val="auto"/>
        </w:rPr>
      </w:pPr>
      <w:r>
        <w:rPr>
          <w:rFonts w:hint="eastAsia"/>
          <w:color w:val="auto"/>
        </w:rPr>
        <w:t>②申请人、共同申请人身份证件；</w:t>
      </w:r>
    </w:p>
    <w:p>
      <w:pPr>
        <w:spacing w:line="560" w:lineRule="exact"/>
        <w:ind w:firstLine="640" w:firstLineChars="200"/>
        <w:rPr>
          <w:color w:val="auto"/>
        </w:rPr>
      </w:pPr>
      <w:r>
        <w:rPr>
          <w:rFonts w:hint="eastAsia"/>
          <w:color w:val="auto"/>
        </w:rPr>
        <w:t>③申请人、共同申请人户口本；</w:t>
      </w:r>
      <w:r>
        <w:rPr>
          <w:color w:val="auto"/>
        </w:rPr>
        <w:t xml:space="preserve"> </w:t>
      </w:r>
    </w:p>
    <w:p>
      <w:pPr>
        <w:spacing w:line="560" w:lineRule="exact"/>
        <w:ind w:firstLine="640" w:firstLineChars="200"/>
        <w:rPr>
          <w:color w:val="auto"/>
        </w:rPr>
      </w:pPr>
      <w:r>
        <w:rPr>
          <w:rFonts w:hint="eastAsia"/>
          <w:color w:val="auto"/>
        </w:rPr>
        <w:t>④结婚证书、离婚证书或法院判决书；</w:t>
      </w:r>
    </w:p>
    <w:p>
      <w:pPr>
        <w:spacing w:line="560" w:lineRule="exact"/>
        <w:ind w:firstLine="640" w:firstLineChars="200"/>
        <w:rPr>
          <w:color w:val="auto"/>
        </w:rPr>
      </w:pPr>
      <w:r>
        <w:rPr>
          <w:rFonts w:hint="eastAsia"/>
          <w:color w:val="auto"/>
        </w:rPr>
        <w:t>⑤在海口市缴纳的连续两年城镇职工基本养老保险或个人所得税记录；</w:t>
      </w:r>
    </w:p>
    <w:p>
      <w:pPr>
        <w:spacing w:line="560" w:lineRule="exact"/>
        <w:ind w:firstLine="640" w:firstLineChars="200"/>
        <w:rPr>
          <w:color w:val="auto"/>
        </w:rPr>
      </w:pPr>
      <w:r>
        <w:rPr>
          <w:rFonts w:hint="eastAsia"/>
          <w:color w:val="auto"/>
        </w:rPr>
        <w:t>⑥人才认定证书或其他证明材料。</w:t>
      </w:r>
    </w:p>
    <w:p>
      <w:pPr>
        <w:spacing w:line="560" w:lineRule="exact"/>
        <w:ind w:firstLine="640" w:firstLineChars="200"/>
        <w:rPr>
          <w:color w:val="auto"/>
        </w:rPr>
      </w:pPr>
      <w:r>
        <w:rPr>
          <w:rFonts w:hint="eastAsia"/>
          <w:color w:val="auto"/>
        </w:rPr>
        <w:t>3</w:t>
      </w:r>
      <w:r>
        <w:rPr>
          <w:color w:val="auto"/>
        </w:rPr>
        <w:t>.</w:t>
      </w:r>
      <w:r>
        <w:rPr>
          <w:rFonts w:hint="eastAsia"/>
          <w:color w:val="auto"/>
        </w:rPr>
        <w:t>人才子女入学</w:t>
      </w:r>
    </w:p>
    <w:p>
      <w:pPr>
        <w:spacing w:line="560" w:lineRule="exact"/>
        <w:ind w:firstLine="640" w:firstLineChars="200"/>
        <w:rPr>
          <w:color w:val="auto"/>
        </w:rPr>
      </w:pPr>
      <w:r>
        <w:rPr>
          <w:rFonts w:hint="eastAsia"/>
          <w:color w:val="auto"/>
        </w:rPr>
        <w:t>（1）职能部门：区教育局（市教育局审批办）</w:t>
      </w:r>
    </w:p>
    <w:p>
      <w:pPr>
        <w:spacing w:line="560" w:lineRule="exact"/>
        <w:ind w:firstLine="640" w:firstLineChars="200"/>
        <w:rPr>
          <w:color w:val="auto"/>
        </w:rPr>
      </w:pPr>
      <w:r>
        <w:rPr>
          <w:rFonts w:hint="eastAsia"/>
          <w:color w:val="auto"/>
        </w:rPr>
        <w:t>（</w:t>
      </w:r>
      <w:r>
        <w:rPr>
          <w:color w:val="auto"/>
        </w:rPr>
        <w:t>2</w:t>
      </w:r>
      <w:r>
        <w:rPr>
          <w:rFonts w:hint="eastAsia"/>
          <w:color w:val="auto"/>
        </w:rPr>
        <w:t>）联系电话：0</w:t>
      </w:r>
      <w:r>
        <w:rPr>
          <w:color w:val="auto"/>
        </w:rPr>
        <w:t>898-68526732</w:t>
      </w:r>
      <w:r>
        <w:rPr>
          <w:color w:val="auto"/>
        </w:rPr>
        <w:br w:type="textWrapping"/>
      </w:r>
      <w:r>
        <w:rPr>
          <w:color w:val="auto"/>
        </w:rPr>
        <w:t xml:space="preserve">    </w:t>
      </w:r>
      <w:r>
        <w:rPr>
          <w:rFonts w:hint="eastAsia"/>
          <w:color w:val="auto"/>
        </w:rPr>
        <w:t>（</w:t>
      </w:r>
      <w:r>
        <w:rPr>
          <w:color w:val="auto"/>
        </w:rPr>
        <w:t>3</w:t>
      </w:r>
      <w:r>
        <w:rPr>
          <w:rFonts w:hint="eastAsia"/>
          <w:color w:val="auto"/>
        </w:rPr>
        <w:t>）联系地址：海口市滨海公园路1号海口市民游客中心负一楼</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）服务流程：网上报名—资格审核—统筹入学。</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①我省高层次人才相关证明材料；</w:t>
      </w:r>
    </w:p>
    <w:p>
      <w:pPr>
        <w:spacing w:line="560" w:lineRule="exact"/>
        <w:ind w:firstLine="640" w:firstLineChars="200"/>
        <w:rPr>
          <w:color w:val="auto"/>
        </w:rPr>
      </w:pPr>
      <w:r>
        <w:rPr>
          <w:rFonts w:hint="eastAsia"/>
          <w:color w:val="auto"/>
        </w:rPr>
        <w:t>②户籍证明；</w:t>
      </w:r>
    </w:p>
    <w:p>
      <w:pPr>
        <w:spacing w:line="560" w:lineRule="exact"/>
        <w:ind w:firstLine="640" w:firstLineChars="200"/>
        <w:rPr>
          <w:color w:val="auto"/>
        </w:rPr>
      </w:pPr>
      <w:r>
        <w:rPr>
          <w:rFonts w:hint="eastAsia"/>
          <w:color w:val="auto"/>
        </w:rPr>
        <w:t>③居住地证明；</w:t>
      </w:r>
    </w:p>
    <w:p>
      <w:pPr>
        <w:spacing w:line="560" w:lineRule="exact"/>
        <w:ind w:firstLine="640" w:firstLineChars="200"/>
        <w:rPr>
          <w:color w:val="auto"/>
        </w:rPr>
      </w:pPr>
      <w:r>
        <w:rPr>
          <w:rFonts w:hint="eastAsia"/>
          <w:color w:val="auto"/>
        </w:rPr>
        <w:t>④转学申请表。</w:t>
      </w:r>
    </w:p>
    <w:p>
      <w:pPr>
        <w:spacing w:line="560" w:lineRule="exact"/>
        <w:ind w:firstLine="640" w:firstLineChars="200"/>
        <w:rPr>
          <w:color w:val="auto"/>
        </w:rPr>
      </w:pPr>
      <w:r>
        <w:rPr>
          <w:rFonts w:hint="eastAsia"/>
          <w:color w:val="auto"/>
        </w:rPr>
        <w:t>4</w:t>
      </w:r>
      <w:r>
        <w:rPr>
          <w:color w:val="auto"/>
        </w:rPr>
        <w:t>.</w:t>
      </w:r>
      <w:r>
        <w:rPr>
          <w:rFonts w:hint="eastAsia"/>
          <w:color w:val="auto"/>
        </w:rPr>
        <w:t>人才医疗健康服务</w:t>
      </w:r>
    </w:p>
    <w:p>
      <w:pPr>
        <w:spacing w:line="560" w:lineRule="exact"/>
        <w:ind w:firstLine="640" w:firstLineChars="200"/>
        <w:rPr>
          <w:color w:val="auto"/>
        </w:rPr>
      </w:pPr>
      <w:r>
        <w:rPr>
          <w:rFonts w:hint="eastAsia"/>
          <w:color w:val="auto"/>
        </w:rPr>
        <w:t>（1）职能部门：区卫健委</w:t>
      </w:r>
    </w:p>
    <w:p>
      <w:pPr>
        <w:spacing w:line="560" w:lineRule="exact"/>
        <w:ind w:firstLine="640" w:firstLineChars="200"/>
        <w:rPr>
          <w:color w:val="auto"/>
        </w:rPr>
      </w:pPr>
      <w:bookmarkStart w:id="22" w:name="_Toc156320048"/>
      <w:r>
        <w:rPr>
          <w:rFonts w:hint="eastAsia"/>
          <w:color w:val="auto"/>
        </w:rPr>
        <w:t>（</w:t>
      </w:r>
      <w:r>
        <w:rPr>
          <w:color w:val="auto"/>
        </w:rPr>
        <w:t>2</w:t>
      </w:r>
      <w:r>
        <w:rPr>
          <w:rFonts w:hint="eastAsia"/>
          <w:color w:val="auto"/>
        </w:rPr>
        <w:t>）联系电话：0</w:t>
      </w:r>
      <w:r>
        <w:rPr>
          <w:color w:val="auto"/>
        </w:rPr>
        <w:t>898-68683546</w:t>
      </w:r>
      <w:r>
        <w:rPr>
          <w:color w:val="auto"/>
        </w:rPr>
        <w:br w:type="textWrapping"/>
      </w:r>
      <w:r>
        <w:rPr>
          <w:color w:val="auto"/>
        </w:rPr>
        <w:t xml:space="preserve">    </w:t>
      </w:r>
      <w:r>
        <w:rPr>
          <w:rFonts w:hint="eastAsia"/>
          <w:color w:val="auto"/>
        </w:rPr>
        <w:t>（</w:t>
      </w:r>
      <w:r>
        <w:rPr>
          <w:color w:val="auto"/>
        </w:rPr>
        <w:t>3</w:t>
      </w:r>
      <w:r>
        <w:rPr>
          <w:rFonts w:hint="eastAsia"/>
          <w:color w:val="auto"/>
        </w:rPr>
        <w:t>）联系地址：海口市秀英区海交路4号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）服务流程：完成服务资格申请-录入楼宇人才信息库-将信息库信息同步至服务医疗机构-就诊时出示身份证核验身份享受服务。</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r>
        <w:rPr>
          <w:color w:val="auto"/>
        </w:rPr>
        <w:t>提供个人职务任职信息凭证（要素支持范围：经海口市认定的总部企业，对不超过员工总人数的 10%、且税后年薪不低于50万元的总部企业高管</w:t>
      </w:r>
      <w:r>
        <w:rPr>
          <w:rFonts w:hint="eastAsia"/>
          <w:color w:val="auto"/>
        </w:rPr>
        <w:t>&lt;</w:t>
      </w:r>
      <w:r>
        <w:rPr>
          <w:color w:val="auto"/>
        </w:rPr>
        <w:t>企业集团总部副总经理以上</w:t>
      </w:r>
      <w:r>
        <w:rPr>
          <w:rFonts w:hint="eastAsia"/>
          <w:color w:val="auto"/>
        </w:rPr>
        <w:t>&gt;</w:t>
      </w:r>
      <w:r>
        <w:rPr>
          <w:color w:val="auto"/>
        </w:rPr>
        <w:t>和 B 类</w:t>
      </w:r>
      <w:r>
        <w:rPr>
          <w:rFonts w:hint="eastAsia"/>
          <w:color w:val="auto"/>
        </w:rPr>
        <w:t>&lt;</w:t>
      </w:r>
      <w:r>
        <w:rPr>
          <w:color w:val="auto"/>
        </w:rPr>
        <w:t>含</w:t>
      </w:r>
      <w:r>
        <w:rPr>
          <w:rFonts w:hint="eastAsia"/>
          <w:color w:val="auto"/>
        </w:rPr>
        <w:t>&gt;</w:t>
      </w:r>
      <w:r>
        <w:rPr>
          <w:color w:val="auto"/>
        </w:rPr>
        <w:t>以上级别的海南省高层次人才</w:t>
      </w:r>
      <w:r>
        <w:rPr>
          <w:rFonts w:hint="eastAsia"/>
          <w:color w:val="auto"/>
        </w:rPr>
        <w:t>）。</w:t>
      </w:r>
    </w:p>
    <w:p>
      <w:pPr>
        <w:spacing w:line="560" w:lineRule="exact"/>
        <w:ind w:firstLine="640" w:firstLineChars="200"/>
        <w:rPr>
          <w:b/>
          <w:bCs/>
          <w:color w:val="auto"/>
        </w:rPr>
      </w:pPr>
      <w:r>
        <w:rPr>
          <w:rFonts w:hint="eastAsia"/>
          <w:color w:val="auto"/>
        </w:rPr>
        <w:t>（九）支持企业发展融资</w:t>
      </w:r>
      <w:bookmarkEnd w:id="22"/>
    </w:p>
    <w:p>
      <w:pPr>
        <w:spacing w:line="560" w:lineRule="exact"/>
        <w:ind w:firstLine="640" w:firstLineChars="200"/>
        <w:rPr>
          <w:color w:val="auto"/>
        </w:rPr>
      </w:pPr>
      <w:r>
        <w:rPr>
          <w:rFonts w:hint="eastAsia"/>
          <w:color w:val="auto"/>
        </w:rPr>
        <w:t>（1）职能部门：区金融办</w:t>
      </w:r>
    </w:p>
    <w:p>
      <w:pPr>
        <w:spacing w:line="560" w:lineRule="exact"/>
        <w:ind w:left="640" w:leftChars="200"/>
        <w:rPr>
          <w:color w:val="auto"/>
        </w:rPr>
      </w:pPr>
      <w:r>
        <w:rPr>
          <w:rFonts w:hint="eastAsia"/>
          <w:color w:val="auto"/>
        </w:rPr>
        <w:t>（</w:t>
      </w:r>
      <w:r>
        <w:rPr>
          <w:color w:val="auto"/>
        </w:rPr>
        <w:t>2</w:t>
      </w:r>
      <w:r>
        <w:rPr>
          <w:rFonts w:hint="eastAsia"/>
          <w:color w:val="auto"/>
        </w:rPr>
        <w:t>）联系电话：0</w:t>
      </w:r>
      <w:r>
        <w:rPr>
          <w:color w:val="auto"/>
        </w:rPr>
        <w:t>898-</w:t>
      </w:r>
      <w:r>
        <w:rPr>
          <w:rFonts w:hint="eastAsia"/>
          <w:color w:val="auto"/>
        </w:rPr>
        <w:t>68625360</w:t>
      </w:r>
      <w:r>
        <w:rPr>
          <w:color w:val="auto"/>
        </w:rPr>
        <w:t xml:space="preserve"> </w:t>
      </w:r>
      <w:r>
        <w:rPr>
          <w:color w:val="auto"/>
        </w:rPr>
        <w:br w:type="textWrapping"/>
      </w:r>
      <w:r>
        <w:rPr>
          <w:rFonts w:hint="eastAsia"/>
          <w:color w:val="auto"/>
        </w:rPr>
        <w:t>（</w:t>
      </w:r>
      <w:r>
        <w:rPr>
          <w:color w:val="auto"/>
        </w:rPr>
        <w:t>3</w:t>
      </w:r>
      <w:r>
        <w:rPr>
          <w:rFonts w:hint="eastAsia"/>
          <w:color w:val="auto"/>
        </w:rPr>
        <w:t>）联系地址：海口市秀英区秀华路2号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）服务流程：企业发布融资需求，包括融资贷款目的及资金缺口，区金融办结合企业经营状况、银行准入条件，协调金融机构与企业对接。</w:t>
      </w:r>
      <w:r>
        <w:rPr>
          <w:color w:val="auto"/>
        </w:rPr>
        <w:t xml:space="preserve"> </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）申请资料：无，待金融机构对接后提供对应材料。</w:t>
      </w:r>
    </w:p>
    <w:p>
      <w:pPr>
        <w:spacing w:line="560" w:lineRule="exact"/>
        <w:ind w:firstLine="640" w:firstLineChars="200"/>
        <w:rPr>
          <w:b/>
          <w:bCs/>
          <w:color w:val="auto"/>
        </w:rPr>
      </w:pPr>
      <w:r>
        <w:rPr>
          <w:rFonts w:hint="eastAsia"/>
          <w:color w:val="auto"/>
        </w:rPr>
        <w:t>（十）支持企业发展用地</w:t>
      </w:r>
    </w:p>
    <w:p>
      <w:pPr>
        <w:spacing w:line="560" w:lineRule="exact"/>
        <w:ind w:firstLine="640" w:firstLineChars="200"/>
        <w:rPr>
          <w:color w:val="auto"/>
        </w:rPr>
      </w:pPr>
      <w:r>
        <w:rPr>
          <w:rFonts w:hint="eastAsia"/>
          <w:color w:val="auto"/>
        </w:rPr>
        <w:t>（1）职能部门：市资规局秀英分局</w:t>
      </w:r>
      <w:r>
        <w:rPr>
          <w:color w:val="auto"/>
        </w:rPr>
        <w:t xml:space="preserve"> </w:t>
      </w:r>
    </w:p>
    <w:p>
      <w:pPr>
        <w:spacing w:line="560" w:lineRule="exact"/>
        <w:ind w:left="640" w:leftChars="200"/>
        <w:rPr>
          <w:color w:val="auto"/>
        </w:rPr>
      </w:pPr>
      <w:r>
        <w:rPr>
          <w:rFonts w:hint="eastAsia"/>
          <w:color w:val="auto"/>
        </w:rPr>
        <w:t>（</w:t>
      </w:r>
      <w:r>
        <w:rPr>
          <w:color w:val="auto"/>
        </w:rPr>
        <w:t>2</w:t>
      </w:r>
      <w:r>
        <w:rPr>
          <w:rFonts w:hint="eastAsia"/>
          <w:color w:val="auto"/>
        </w:rPr>
        <w:t>）联系电话：0898-68921920</w:t>
      </w:r>
      <w:r>
        <w:rPr>
          <w:color w:val="auto"/>
        </w:rPr>
        <w:t xml:space="preserve"> </w:t>
      </w:r>
      <w:r>
        <w:rPr>
          <w:color w:val="auto"/>
        </w:rPr>
        <w:br w:type="textWrapping"/>
      </w:r>
      <w:r>
        <w:rPr>
          <w:rFonts w:hint="eastAsia"/>
          <w:color w:val="auto"/>
        </w:rPr>
        <w:t>（</w:t>
      </w:r>
      <w:r>
        <w:rPr>
          <w:color w:val="auto"/>
        </w:rPr>
        <w:t>3</w:t>
      </w:r>
      <w:r>
        <w:rPr>
          <w:rFonts w:hint="eastAsia"/>
          <w:color w:val="auto"/>
        </w:rPr>
        <w:t>）联系地址：海口市丘海大道 25 号</w:t>
      </w:r>
    </w:p>
    <w:p>
      <w:pPr>
        <w:spacing w:line="560" w:lineRule="exact"/>
        <w:ind w:firstLine="640" w:firstLineChars="200"/>
        <w:rPr>
          <w:color w:val="auto"/>
        </w:rPr>
      </w:pPr>
      <w:r>
        <w:rPr>
          <w:rFonts w:hint="eastAsia"/>
          <w:color w:val="auto"/>
        </w:rPr>
        <w:t>（</w:t>
      </w:r>
      <w:r>
        <w:rPr>
          <w:color w:val="auto"/>
        </w:rPr>
        <w:t>4</w:t>
      </w:r>
      <w:r>
        <w:rPr>
          <w:rFonts w:hint="eastAsia"/>
          <w:color w:val="auto"/>
        </w:rPr>
        <w:t>）服务流程：企业根据我市土地挂牌公告信息或在“土地超市”中寻找符合自身需求的土地，按公告时间范围内报名，摘牌后缴纳出让金。</w:t>
      </w:r>
      <w:r>
        <w:rPr>
          <w:color w:val="auto"/>
        </w:rPr>
        <w:t xml:space="preserve"> </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）申请资料：按土地挂牌公告要求提供材料。</w:t>
      </w:r>
      <w:r>
        <w:rPr>
          <w:color w:val="auto"/>
        </w:rPr>
        <w:t xml:space="preserve"> </w:t>
      </w:r>
    </w:p>
    <w:p>
      <w:pPr>
        <w:pStyle w:val="28"/>
        <w:spacing w:line="560" w:lineRule="exact"/>
        <w:outlineLvl w:val="0"/>
        <w:rPr>
          <w:rFonts w:ascii="Times New Roman" w:hAnsi="Times New Roman"/>
          <w:color w:val="auto"/>
        </w:rPr>
      </w:pPr>
      <w:bookmarkStart w:id="23" w:name="_Toc163392932"/>
      <w:r>
        <w:rPr>
          <w:rFonts w:hint="eastAsia" w:ascii="Times New Roman" w:hAnsi="Times New Roman"/>
          <w:color w:val="auto"/>
        </w:rPr>
        <w:t>四、奖补政策具体申报条件及资料</w:t>
      </w:r>
      <w:bookmarkEnd w:id="23"/>
    </w:p>
    <w:p>
      <w:pPr>
        <w:pStyle w:val="30"/>
        <w:spacing w:line="560" w:lineRule="exact"/>
        <w:outlineLvl w:val="1"/>
        <w:rPr>
          <w:rFonts w:ascii="Times New Roman" w:hAnsi="Times New Roman"/>
          <w:b w:val="0"/>
          <w:bCs w:val="0"/>
        </w:rPr>
      </w:pPr>
      <w:bookmarkStart w:id="24" w:name="_Toc163392933"/>
      <w:r>
        <w:rPr>
          <w:rFonts w:hint="eastAsia" w:ascii="Times New Roman" w:hAnsi="Times New Roman"/>
          <w:b w:val="0"/>
          <w:bCs w:val="0"/>
        </w:rPr>
        <w:t>（一）适用楼宇认定标准</w:t>
      </w:r>
      <w:bookmarkEnd w:id="24"/>
    </w:p>
    <w:p>
      <w:pPr>
        <w:spacing w:line="560" w:lineRule="exact"/>
        <w:ind w:firstLine="640" w:firstLineChars="200"/>
        <w:rPr>
          <w:color w:val="auto"/>
        </w:rPr>
      </w:pPr>
      <w:r>
        <w:rPr>
          <w:rFonts w:hint="eastAsia"/>
          <w:color w:val="auto"/>
        </w:rPr>
        <w:t>以下所指建筑面积均不含楼宇配套设施用房面积，不包括行政、事业单位自建自用楼宇。</w:t>
      </w:r>
    </w:p>
    <w:p>
      <w:pPr>
        <w:spacing w:line="600" w:lineRule="exact"/>
        <w:ind w:firstLine="640" w:firstLineChars="200"/>
        <w:rPr>
          <w:b/>
          <w:color w:val="auto"/>
        </w:rPr>
      </w:pPr>
      <w:r>
        <w:rPr>
          <w:rFonts w:hint="eastAsia"/>
          <w:color w:val="auto"/>
        </w:rPr>
        <w:t>商务楼宇适用范围：楼宇</w:t>
      </w:r>
      <w:r>
        <w:rPr>
          <w:color w:val="auto"/>
        </w:rPr>
        <w:t>地理位置处于秀英辖区内，建筑面积在15000平方米（含）以上、且建筑规划用途为</w:t>
      </w:r>
      <w:r>
        <w:rPr>
          <w:rFonts w:hint="eastAsia"/>
          <w:color w:val="auto"/>
        </w:rPr>
        <w:t>商业</w:t>
      </w:r>
      <w:r>
        <w:rPr>
          <w:color w:val="auto"/>
        </w:rPr>
        <w:t>办公的写字楼宇；</w:t>
      </w:r>
      <w:r>
        <w:rPr>
          <w:rFonts w:hint="eastAsia"/>
          <w:color w:val="auto"/>
        </w:rPr>
        <w:t>建筑面积在10000平方米（含）以上的孵化器、产业园、科研楼宇和总部楼宇；以及区重点扶持的其他楼宇。以上楼宇</w:t>
      </w:r>
      <w:r>
        <w:rPr>
          <w:color w:val="auto"/>
        </w:rPr>
        <w:t>要求具有完备物业管理服务和基础设施设备，且建筑面积均不含楼宇配套设施用房面积，不包括行政、事业单位自建自用楼宇。</w:t>
      </w:r>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楼宇开发企业、楼宇业主、楼宇运营企业、物业管理企业。</w:t>
      </w:r>
    </w:p>
    <w:p>
      <w:pPr>
        <w:spacing w:line="560" w:lineRule="exact"/>
        <w:ind w:firstLine="640" w:firstLineChars="200"/>
        <w:rPr>
          <w:color w:val="auto"/>
        </w:rPr>
      </w:pPr>
      <w:r>
        <w:rPr>
          <w:rFonts w:hint="eastAsia"/>
          <w:color w:val="auto"/>
        </w:rPr>
        <w:t>（</w:t>
      </w:r>
      <w:r>
        <w:rPr>
          <w:color w:val="auto"/>
        </w:rPr>
        <w:t>2</w:t>
      </w:r>
      <w:r>
        <w:rPr>
          <w:rFonts w:hint="eastAsia"/>
          <w:color w:val="auto"/>
        </w:rPr>
        <w:t>）申报时间</w:t>
      </w:r>
    </w:p>
    <w:p>
      <w:pPr>
        <w:spacing w:line="560" w:lineRule="exact"/>
        <w:ind w:firstLine="640" w:firstLineChars="200"/>
        <w:rPr>
          <w:color w:val="auto"/>
        </w:rPr>
      </w:pPr>
      <w:r>
        <w:rPr>
          <w:rFonts w:hint="eastAsia"/>
          <w:color w:val="auto"/>
        </w:rPr>
        <w:t>即时申请，一次性认定，政策执行期内不复审。</w:t>
      </w:r>
    </w:p>
    <w:p>
      <w:pPr>
        <w:spacing w:line="560" w:lineRule="exact"/>
        <w:ind w:firstLine="640" w:firstLineChars="200"/>
        <w:rPr>
          <w:color w:val="auto"/>
        </w:rPr>
      </w:pPr>
      <w:r>
        <w:rPr>
          <w:rFonts w:hint="eastAsia"/>
          <w:color w:val="auto"/>
        </w:rPr>
        <w:t>（</w:t>
      </w:r>
      <w:r>
        <w:rPr>
          <w:color w:val="auto"/>
        </w:rPr>
        <w:t>3</w:t>
      </w:r>
      <w:r>
        <w:rPr>
          <w:rFonts w:hint="eastAsia"/>
          <w:color w:val="auto"/>
        </w:rPr>
        <w:t>）申请资料</w:t>
      </w:r>
    </w:p>
    <w:p>
      <w:pPr>
        <w:spacing w:line="560" w:lineRule="exact"/>
        <w:ind w:firstLine="640" w:firstLineChars="200"/>
        <w:rPr>
          <w:color w:val="auto"/>
        </w:rPr>
      </w:pPr>
      <w:r>
        <w:rPr>
          <w:rFonts w:hint="eastAsia"/>
          <w:color w:val="auto"/>
        </w:rPr>
        <w:t>①《秀英区楼宇经济适用楼宇认定申报表》；</w:t>
      </w:r>
      <w:r>
        <w:rPr>
          <w:color w:val="auto"/>
        </w:rPr>
        <w:t xml:space="preserve"> </w:t>
      </w:r>
    </w:p>
    <w:p>
      <w:pPr>
        <w:spacing w:line="560" w:lineRule="exact"/>
        <w:ind w:firstLine="640" w:firstLineChars="200"/>
        <w:rPr>
          <w:color w:val="auto"/>
        </w:rPr>
      </w:pPr>
      <w:r>
        <w:rPr>
          <w:rFonts w:hint="eastAsia"/>
          <w:color w:val="auto"/>
        </w:rPr>
        <w:t>②楼宇不动产权证或其他同类相关证明材料；</w:t>
      </w:r>
      <w:r>
        <w:rPr>
          <w:color w:val="auto"/>
        </w:rPr>
        <w:t xml:space="preserve"> </w:t>
      </w:r>
    </w:p>
    <w:p>
      <w:pPr>
        <w:spacing w:line="560" w:lineRule="exact"/>
        <w:ind w:firstLine="640" w:firstLineChars="200"/>
        <w:rPr>
          <w:color w:val="auto"/>
        </w:rPr>
      </w:pPr>
      <w:r>
        <w:rPr>
          <w:rFonts w:hint="eastAsia"/>
          <w:color w:val="auto"/>
        </w:rPr>
        <w:t>③楼宇物业管理制度或其他同类相关资质证明材料</w:t>
      </w:r>
      <w:bookmarkStart w:id="25" w:name="_Hlk156307307"/>
      <w:r>
        <w:rPr>
          <w:rFonts w:hint="eastAsia"/>
          <w:color w:val="auto"/>
        </w:rPr>
        <w:t>；</w:t>
      </w:r>
      <w:bookmarkEnd w:id="25"/>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商务楼宇提供：外立面、电梯、大堂、空调及新风机房、公共卫生间、停车场、智能化、电力及照明等设施设备的照片佐证材料；</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26" w:name="_Toc163392934"/>
      <w:r>
        <w:rPr>
          <w:rFonts w:hint="eastAsia" w:ascii="Times New Roman" w:hAnsi="Times New Roman"/>
          <w:b w:val="0"/>
          <w:bCs w:val="0"/>
        </w:rPr>
        <w:t>（二）入驻企业租金补贴</w:t>
      </w:r>
      <w:bookmarkEnd w:id="26"/>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2</w:t>
      </w:r>
      <w:r>
        <w:rPr>
          <w:color w:val="auto"/>
        </w:rPr>
        <w:t>024</w:t>
      </w:r>
      <w:r>
        <w:rPr>
          <w:rFonts w:hint="eastAsia"/>
          <w:color w:val="auto"/>
        </w:rPr>
        <w:t>年</w:t>
      </w:r>
      <w:r>
        <w:rPr>
          <w:color w:val="auto"/>
        </w:rPr>
        <w:t>2</w:t>
      </w:r>
      <w:r>
        <w:rPr>
          <w:rFonts w:hint="eastAsia"/>
          <w:color w:val="auto"/>
        </w:rPr>
        <w:t>月19日起将注册地址迁入秀英区或在秀英区新注册、具有独立法人资格、财务独立核算、工商注册、税务登记和统计关系均在秀英区，且入驻区内商务楼宇的企业（不含房地产企业）。</w:t>
      </w:r>
    </w:p>
    <w:p>
      <w:pPr>
        <w:spacing w:line="560" w:lineRule="exact"/>
        <w:ind w:firstLine="640" w:firstLineChars="200"/>
        <w:rPr>
          <w:color w:val="auto"/>
        </w:rPr>
      </w:pPr>
      <w:r>
        <w:rPr>
          <w:rFonts w:hint="eastAsia"/>
          <w:color w:val="auto"/>
        </w:rPr>
        <w:t>（</w:t>
      </w:r>
      <w:r>
        <w:rPr>
          <w:color w:val="auto"/>
        </w:rPr>
        <w:t>2</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w:t>
      </w:r>
      <w:r>
        <w:rPr>
          <w:color w:val="auto"/>
        </w:rPr>
        <w:t>3</w:t>
      </w:r>
      <w:r>
        <w:rPr>
          <w:rFonts w:hint="eastAsia"/>
          <w:color w:val="auto"/>
        </w:rPr>
        <w:t>）申报条件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申报主体须首次入驻符合《政策》“适用范围”规定的“商务楼宇”；</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申报主体租赁商务楼宇的租赁合同办公面积应在</w:t>
      </w:r>
      <w:r>
        <w:rPr>
          <w:color w:val="auto"/>
        </w:rPr>
        <w:t>2</w:t>
      </w:r>
      <w:r>
        <w:rPr>
          <w:rFonts w:hint="eastAsia"/>
          <w:color w:val="auto"/>
        </w:rPr>
        <w:t>00平方米</w:t>
      </w:r>
      <w:r>
        <w:rPr>
          <w:rFonts w:hint="eastAsia" w:ascii="仿宋_GB2312" w:hAnsi="仿宋_GB2312"/>
          <w:color w:val="auto"/>
        </w:rPr>
        <w:t>(含)</w:t>
      </w:r>
      <w:r>
        <w:rPr>
          <w:rFonts w:hint="eastAsia"/>
          <w:color w:val="auto"/>
        </w:rPr>
        <w:t>以上、且租期</w:t>
      </w:r>
      <w:r>
        <w:rPr>
          <w:rFonts w:hint="eastAsia" w:ascii="仿宋_GB2312" w:hAnsi="仿宋_GB2312"/>
          <w:color w:val="auto"/>
        </w:rPr>
        <w:t>两</w:t>
      </w:r>
      <w:r>
        <w:rPr>
          <w:rFonts w:hint="eastAsia"/>
          <w:color w:val="auto"/>
        </w:rPr>
        <w:t>年</w:t>
      </w:r>
      <w:r>
        <w:rPr>
          <w:rFonts w:hint="eastAsia" w:ascii="仿宋_GB2312" w:hAnsi="仿宋_GB2312"/>
          <w:color w:val="auto"/>
        </w:rPr>
        <w:t>(含)</w:t>
      </w:r>
      <w:r>
        <w:rPr>
          <w:rFonts w:hint="eastAsia"/>
          <w:color w:val="auto"/>
        </w:rPr>
        <w:t>以上；</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申报主体应开展实质性经营。</w:t>
      </w:r>
    </w:p>
    <w:p>
      <w:pPr>
        <w:spacing w:line="560" w:lineRule="exact"/>
        <w:ind w:firstLine="640" w:firstLineChars="200"/>
        <w:rPr>
          <w:color w:val="auto"/>
        </w:rPr>
      </w:pPr>
      <w:r>
        <w:rPr>
          <w:rFonts w:hint="eastAsia"/>
          <w:color w:val="auto"/>
        </w:rPr>
        <w:t>（</w:t>
      </w:r>
      <w:r>
        <w:rPr>
          <w:color w:val="auto"/>
        </w:rPr>
        <w:t>4</w:t>
      </w:r>
      <w:r>
        <w:rPr>
          <w:rFonts w:hint="eastAsia"/>
          <w:color w:val="auto"/>
        </w:rPr>
        <w:t>）奖励标准</w:t>
      </w:r>
    </w:p>
    <w:p>
      <w:pPr>
        <w:spacing w:line="560" w:lineRule="exact"/>
        <w:ind w:firstLine="640" w:firstLineChars="200"/>
        <w:rPr>
          <w:rFonts w:ascii="仿宋_GB2312" w:hAnsi="仿宋_GB2312"/>
          <w:color w:val="auto"/>
        </w:rPr>
      </w:pPr>
      <w:r>
        <w:rPr>
          <w:rFonts w:hint="eastAsia" w:ascii="仿宋_GB2312" w:hAnsi="仿宋_GB2312"/>
          <w:color w:val="auto"/>
        </w:rPr>
        <w:t>给予</w:t>
      </w:r>
      <w:r>
        <w:rPr>
          <w:rFonts w:hint="eastAsia"/>
          <w:color w:val="auto"/>
        </w:rPr>
        <w:t>20</w:t>
      </w:r>
      <w:r>
        <w:rPr>
          <w:rFonts w:hint="eastAsia" w:ascii="仿宋_GB2312" w:hAnsi="仿宋_GB2312"/>
          <w:color w:val="auto"/>
        </w:rPr>
        <w:t>元/（平方米</w:t>
      </w:r>
      <w:r>
        <w:rPr>
          <w:rFonts w:hint="eastAsia" w:ascii="微软雅黑" w:hAnsi="微软雅黑" w:eastAsia="微软雅黑"/>
          <w:color w:val="auto"/>
        </w:rPr>
        <w:t>·</w:t>
      </w:r>
      <w:r>
        <w:rPr>
          <w:rFonts w:hint="eastAsia" w:ascii="仿宋_GB2312" w:hAnsi="仿宋_GB2312"/>
          <w:color w:val="auto"/>
        </w:rPr>
        <w:t>月）的租金补贴，补贴面积不超过</w:t>
      </w:r>
      <w:r>
        <w:rPr>
          <w:rFonts w:hint="eastAsia"/>
          <w:color w:val="auto"/>
        </w:rPr>
        <w:t>500</w:t>
      </w:r>
      <w:r>
        <w:rPr>
          <w:rFonts w:hint="eastAsia" w:ascii="仿宋_GB2312" w:hAnsi="仿宋_GB2312"/>
          <w:color w:val="auto"/>
        </w:rPr>
        <w:t>平方米(含)。单家企业年度最高补贴</w:t>
      </w:r>
      <w:r>
        <w:rPr>
          <w:rFonts w:hint="eastAsia"/>
          <w:color w:val="auto"/>
        </w:rPr>
        <w:t>12</w:t>
      </w:r>
      <w:r>
        <w:rPr>
          <w:rFonts w:hint="eastAsia" w:ascii="仿宋_GB2312" w:hAnsi="仿宋_GB2312"/>
          <w:color w:val="auto"/>
        </w:rPr>
        <w:t>万元，连续补贴最多两年。</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①《秀英区楼宇经济发展专项资金申请表》；</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color w:val="auto"/>
        </w:rPr>
        <w:t xml:space="preserve"> </w:t>
      </w:r>
      <w:r>
        <w:rPr>
          <w:rFonts w:hint="eastAsia"/>
          <w:color w:val="auto"/>
        </w:rPr>
        <w:t>申报主体的办公租赁合同复印件、办公室大门前台照片、第一个租赁年度租金发票及银行流水单；</w:t>
      </w:r>
    </w:p>
    <w:p>
      <w:pPr>
        <w:spacing w:line="560" w:lineRule="exact"/>
        <w:ind w:firstLine="640" w:firstLineChars="200"/>
        <w:rPr>
          <w:color w:val="auto"/>
        </w:rPr>
      </w:pPr>
      <w:r>
        <w:rPr>
          <w:rFonts w:hint="eastAsia"/>
          <w:color w:val="auto"/>
        </w:rPr>
        <w:t>③申报主体开展实质性经营的证明（3人以上社保缴纳证明、楼宇方证明文件等）；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《申请楼宇经济发展专项资金承诺书》；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7 \* GB3</w:instrText>
      </w:r>
      <w:r>
        <w:rPr>
          <w:color w:val="auto"/>
        </w:rPr>
        <w:instrText xml:space="preserve"> </w:instrText>
      </w:r>
      <w:r>
        <w:rPr>
          <w:color w:val="auto"/>
        </w:rPr>
        <w:fldChar w:fldCharType="separate"/>
      </w:r>
      <w:r>
        <w:rPr>
          <w:rFonts w:hint="eastAsia"/>
          <w:color w:val="auto"/>
        </w:rPr>
        <w:t>⑦</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27" w:name="_Toc163392935"/>
      <w:r>
        <w:rPr>
          <w:rFonts w:hint="eastAsia" w:ascii="Times New Roman" w:hAnsi="Times New Roman"/>
          <w:b w:val="0"/>
          <w:bCs w:val="0"/>
        </w:rPr>
        <w:t>（三）入驻企业装修补贴</w:t>
      </w:r>
      <w:bookmarkEnd w:id="27"/>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2</w:t>
      </w:r>
      <w:r>
        <w:rPr>
          <w:color w:val="auto"/>
        </w:rPr>
        <w:t>024</w:t>
      </w:r>
      <w:r>
        <w:rPr>
          <w:rFonts w:hint="eastAsia"/>
          <w:color w:val="auto"/>
        </w:rPr>
        <w:t>年</w:t>
      </w:r>
      <w:r>
        <w:rPr>
          <w:color w:val="auto"/>
        </w:rPr>
        <w:t>2</w:t>
      </w:r>
      <w:r>
        <w:rPr>
          <w:rFonts w:hint="eastAsia"/>
          <w:color w:val="auto"/>
        </w:rPr>
        <w:t>月19日起将注册地址迁入秀英区或在秀英区新注册、具有独立法人资格、财务独立核算、工商注册、税务登记和统计关系均在秀英区，且入驻区内商务楼宇的企业（不含房地产企业）。</w:t>
      </w:r>
    </w:p>
    <w:p>
      <w:pPr>
        <w:spacing w:line="560" w:lineRule="exact"/>
        <w:ind w:firstLine="640" w:firstLineChars="200"/>
        <w:rPr>
          <w:color w:val="auto"/>
        </w:rPr>
      </w:pPr>
      <w:r>
        <w:rPr>
          <w:rFonts w:hint="eastAsia"/>
          <w:color w:val="auto"/>
        </w:rPr>
        <w:t>（</w:t>
      </w:r>
      <w:r>
        <w:rPr>
          <w:color w:val="auto"/>
        </w:rPr>
        <w:t>2</w:t>
      </w:r>
      <w:r>
        <w:rPr>
          <w:rFonts w:hint="eastAsia"/>
          <w:color w:val="auto"/>
        </w:rPr>
        <w:t>）申报时间</w:t>
      </w:r>
    </w:p>
    <w:p>
      <w:pPr>
        <w:spacing w:line="560" w:lineRule="exact"/>
        <w:ind w:firstLine="640" w:firstLineChars="200"/>
        <w:rPr>
          <w:color w:val="auto"/>
        </w:rPr>
      </w:pPr>
      <w:r>
        <w:rPr>
          <w:rFonts w:hint="eastAsia"/>
          <w:color w:val="auto"/>
        </w:rPr>
        <w:t>即时备案，2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w:t>
      </w:r>
      <w:r>
        <w:rPr>
          <w:color w:val="auto"/>
        </w:rPr>
        <w:t>3</w:t>
      </w:r>
      <w:r>
        <w:rPr>
          <w:rFonts w:hint="eastAsia"/>
          <w:color w:val="auto"/>
        </w:rPr>
        <w:t>）申报条件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申报主体须首次入驻符合《政策》“适用范围”规定的“商务楼宇”；</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申报主体租赁商务楼宇的租赁合同办公面积应在</w:t>
      </w:r>
      <w:r>
        <w:rPr>
          <w:color w:val="auto"/>
        </w:rPr>
        <w:t>2</w:t>
      </w:r>
      <w:r>
        <w:rPr>
          <w:rFonts w:hint="eastAsia"/>
          <w:color w:val="auto"/>
        </w:rPr>
        <w:t>00平方米</w:t>
      </w:r>
      <w:r>
        <w:rPr>
          <w:rFonts w:hint="eastAsia" w:ascii="仿宋_GB2312" w:hAnsi="仿宋_GB2312"/>
          <w:color w:val="auto"/>
        </w:rPr>
        <w:t>(含)</w:t>
      </w:r>
      <w:r>
        <w:rPr>
          <w:rFonts w:hint="eastAsia"/>
          <w:color w:val="auto"/>
        </w:rPr>
        <w:t>以上、且租期</w:t>
      </w:r>
      <w:r>
        <w:rPr>
          <w:rFonts w:hint="eastAsia" w:ascii="仿宋_GB2312" w:hAnsi="仿宋_GB2312"/>
          <w:color w:val="auto"/>
        </w:rPr>
        <w:t>两</w:t>
      </w:r>
      <w:r>
        <w:rPr>
          <w:rFonts w:hint="eastAsia"/>
          <w:color w:val="auto"/>
        </w:rPr>
        <w:t>年</w:t>
      </w:r>
      <w:r>
        <w:rPr>
          <w:rFonts w:hint="eastAsia" w:ascii="仿宋_GB2312" w:hAnsi="仿宋_GB2312"/>
          <w:color w:val="auto"/>
        </w:rPr>
        <w:t>(含)</w:t>
      </w:r>
      <w:r>
        <w:rPr>
          <w:rFonts w:hint="eastAsia"/>
          <w:color w:val="auto"/>
        </w:rPr>
        <w:t>以上；</w:t>
      </w:r>
    </w:p>
    <w:p>
      <w:pPr>
        <w:spacing w:line="560" w:lineRule="exact"/>
        <w:ind w:firstLine="640" w:firstLineChars="200"/>
        <w:rPr>
          <w:color w:val="auto"/>
        </w:rPr>
      </w:pPr>
      <w:r>
        <w:rPr>
          <w:rFonts w:hint="eastAsia"/>
          <w:color w:val="auto"/>
        </w:rPr>
        <w:t>（</w:t>
      </w:r>
      <w:r>
        <w:rPr>
          <w:color w:val="auto"/>
        </w:rPr>
        <w:t>4</w:t>
      </w:r>
      <w:r>
        <w:rPr>
          <w:rFonts w:hint="eastAsia"/>
          <w:color w:val="auto"/>
        </w:rPr>
        <w:t>）奖励标准</w:t>
      </w:r>
    </w:p>
    <w:p>
      <w:pPr>
        <w:spacing w:line="560" w:lineRule="exact"/>
        <w:ind w:firstLine="640" w:firstLineChars="200"/>
        <w:rPr>
          <w:color w:val="auto"/>
        </w:rPr>
      </w:pPr>
      <w:r>
        <w:rPr>
          <w:rFonts w:hint="eastAsia"/>
          <w:color w:val="auto"/>
        </w:rPr>
        <w:t>按该工程项目（硬装</w:t>
      </w:r>
      <w:r>
        <w:rPr>
          <w:color w:val="auto"/>
        </w:rPr>
        <w:t>）</w:t>
      </w:r>
      <w:r>
        <w:rPr>
          <w:rFonts w:hint="eastAsia"/>
          <w:color w:val="auto"/>
        </w:rPr>
        <w:t>部分竣工结算审核金额的1</w:t>
      </w:r>
      <w:r>
        <w:rPr>
          <w:color w:val="auto"/>
        </w:rPr>
        <w:t>0</w:t>
      </w:r>
      <w:r>
        <w:rPr>
          <w:rFonts w:hint="eastAsia"/>
          <w:color w:val="auto"/>
        </w:rPr>
        <w:t>%给予一次性补贴，单个企业补贴不超过</w:t>
      </w:r>
      <w:r>
        <w:rPr>
          <w:color w:val="auto"/>
        </w:rPr>
        <w:t>1</w:t>
      </w:r>
      <w:r>
        <w:rPr>
          <w:rFonts w:hint="eastAsia"/>
          <w:color w:val="auto"/>
        </w:rPr>
        <w:t>0万元，同一户型仅可享受一次补贴。</w:t>
      </w:r>
    </w:p>
    <w:p>
      <w:pPr>
        <w:spacing w:line="560" w:lineRule="exact"/>
        <w:ind w:firstLine="640" w:firstLineChars="200"/>
        <w:rPr>
          <w:color w:val="auto"/>
        </w:rPr>
      </w:pPr>
      <w:r>
        <w:rPr>
          <w:rFonts w:hint="eastAsia"/>
          <w:color w:val="auto"/>
        </w:rPr>
        <w:t>（</w:t>
      </w:r>
      <w:r>
        <w:rPr>
          <w:color w:val="auto"/>
        </w:rPr>
        <w:t>5</w:t>
      </w:r>
      <w:r>
        <w:rPr>
          <w:rFonts w:hint="eastAsia"/>
          <w:color w:val="auto"/>
        </w:rPr>
        <w:t>）申请资料</w:t>
      </w:r>
    </w:p>
    <w:p>
      <w:pPr>
        <w:spacing w:line="560" w:lineRule="exact"/>
        <w:ind w:firstLine="640" w:firstLineChars="200"/>
        <w:rPr>
          <w:color w:val="auto"/>
        </w:rPr>
      </w:pPr>
      <w:r>
        <w:rPr>
          <w:rFonts w:hint="eastAsia"/>
          <w:color w:val="auto"/>
        </w:rPr>
        <w:t>（1）装修前申请并纳入年度计划，需提交资料：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《秀英区楼宇经济年度备案登记表》；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申报主体的办公租赁合同复印件；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装修前空间的照片；</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其他需要提供的资料。</w:t>
      </w:r>
    </w:p>
    <w:p>
      <w:pPr>
        <w:spacing w:line="560" w:lineRule="exact"/>
        <w:ind w:firstLine="640" w:firstLineChars="200"/>
        <w:rPr>
          <w:color w:val="auto"/>
        </w:rPr>
      </w:pPr>
      <w:r>
        <w:rPr>
          <w:rFonts w:hint="eastAsia"/>
          <w:color w:val="auto"/>
        </w:rPr>
        <w:t>（</w:t>
      </w:r>
      <w:r>
        <w:rPr>
          <w:color w:val="auto"/>
        </w:rPr>
        <w:t>2</w:t>
      </w:r>
      <w:r>
        <w:rPr>
          <w:rFonts w:hint="eastAsia"/>
          <w:color w:val="auto"/>
        </w:rPr>
        <w:t>）装修后申请补贴，需提交资料：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装修后空间的照片；</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项目结算资料的复印件（包括执行合同结算发票及完税证明等）；</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《申请楼宇经济发展专项资金承诺书》；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28" w:name="_Toc163392936"/>
      <w:r>
        <w:rPr>
          <w:rFonts w:hint="eastAsia" w:ascii="Times New Roman" w:hAnsi="Times New Roman"/>
          <w:b w:val="0"/>
          <w:bCs w:val="0"/>
        </w:rPr>
        <w:t>（四）支持外资企业落户</w:t>
      </w:r>
      <w:bookmarkEnd w:id="28"/>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外资企业。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（1）2</w:t>
      </w:r>
      <w:r>
        <w:rPr>
          <w:color w:val="auto"/>
        </w:rPr>
        <w:t>024</w:t>
      </w:r>
      <w:r>
        <w:rPr>
          <w:rFonts w:hint="eastAsia"/>
          <w:color w:val="auto"/>
        </w:rPr>
        <w:t>年</w:t>
      </w:r>
      <w:r>
        <w:rPr>
          <w:color w:val="auto"/>
        </w:rPr>
        <w:t>2月19日</w:t>
      </w:r>
      <w:r>
        <w:rPr>
          <w:rFonts w:hint="eastAsia"/>
          <w:color w:val="auto"/>
        </w:rPr>
        <w:t>起将注册地址迁入秀英区或在秀英区新注册的外方投资者</w:t>
      </w:r>
      <w:r>
        <w:rPr>
          <w:rFonts w:hint="eastAsia" w:ascii="仿宋_GB2312" w:hAnsi="仿宋_GB2312"/>
          <w:color w:val="auto"/>
        </w:rPr>
        <w:t>实缴到位资本不低于</w:t>
      </w:r>
      <w:r>
        <w:rPr>
          <w:color w:val="auto"/>
        </w:rPr>
        <w:t>1</w:t>
      </w:r>
      <w:r>
        <w:rPr>
          <w:rFonts w:hint="eastAsia"/>
          <w:color w:val="auto"/>
        </w:rPr>
        <w:t>0</w:t>
      </w:r>
      <w:r>
        <w:rPr>
          <w:color w:val="auto"/>
        </w:rPr>
        <w:t>0</w:t>
      </w:r>
      <w:r>
        <w:rPr>
          <w:rFonts w:hint="eastAsia" w:ascii="仿宋_GB2312" w:hAnsi="仿宋_GB2312"/>
          <w:color w:val="auto"/>
        </w:rPr>
        <w:t>万(含)美元；</w:t>
      </w:r>
      <w:r>
        <w:rPr>
          <w:rFonts w:hint="eastAsia"/>
          <w:color w:val="auto"/>
        </w:rPr>
        <w:t>或新增实缴到位资本不低于</w:t>
      </w:r>
      <w:r>
        <w:rPr>
          <w:color w:val="auto"/>
        </w:rPr>
        <w:t>1</w:t>
      </w:r>
      <w:r>
        <w:rPr>
          <w:rFonts w:hint="eastAsia"/>
          <w:color w:val="auto"/>
        </w:rPr>
        <w:t>0</w:t>
      </w:r>
      <w:r>
        <w:rPr>
          <w:color w:val="auto"/>
        </w:rPr>
        <w:t>0</w:t>
      </w:r>
      <w:r>
        <w:rPr>
          <w:rFonts w:hint="eastAsia"/>
          <w:color w:val="auto"/>
        </w:rPr>
        <w:t>万（含）美元的存量外资企业</w:t>
      </w:r>
      <w:r>
        <w:rPr>
          <w:rFonts w:hint="eastAsia" w:ascii="仿宋_GB2312" w:hAnsi="仿宋_GB2312"/>
          <w:color w:val="auto"/>
        </w:rPr>
        <w:t>；</w:t>
      </w:r>
    </w:p>
    <w:p>
      <w:pPr>
        <w:spacing w:line="560" w:lineRule="exact"/>
        <w:ind w:firstLine="640" w:firstLineChars="200"/>
        <w:rPr>
          <w:rFonts w:ascii="仿宋_GB2312" w:hAnsi="仿宋_GB2312"/>
          <w:color w:val="auto"/>
        </w:rPr>
      </w:pPr>
      <w:r>
        <w:rPr>
          <w:rFonts w:hint="eastAsia"/>
          <w:color w:val="auto"/>
        </w:rPr>
        <w:t>（2）</w:t>
      </w:r>
      <w:r>
        <w:rPr>
          <w:rFonts w:hint="eastAsia" w:ascii="仿宋_GB2312" w:hAnsi="仿宋_GB2312"/>
          <w:color w:val="auto"/>
        </w:rPr>
        <w:t>协议承诺入驻经营不少于两年；</w:t>
      </w:r>
    </w:p>
    <w:p>
      <w:pPr>
        <w:spacing w:line="560" w:lineRule="exact"/>
        <w:ind w:firstLine="640" w:firstLineChars="200"/>
        <w:rPr>
          <w:color w:val="auto"/>
        </w:rPr>
      </w:pPr>
      <w:r>
        <w:rPr>
          <w:rFonts w:hint="eastAsia"/>
          <w:color w:val="auto"/>
        </w:rPr>
        <w:t>（</w:t>
      </w:r>
      <w:r>
        <w:rPr>
          <w:color w:val="auto"/>
        </w:rPr>
        <w:t>3</w:t>
      </w:r>
      <w:r>
        <w:rPr>
          <w:rFonts w:hint="eastAsia"/>
          <w:color w:val="auto"/>
        </w:rPr>
        <w:t>）实缴到位注册资金含增资扩股。</w:t>
      </w:r>
    </w:p>
    <w:p>
      <w:pPr>
        <w:spacing w:line="560" w:lineRule="exact"/>
        <w:ind w:firstLine="640" w:firstLineChars="200"/>
        <w:rPr>
          <w:color w:val="auto"/>
        </w:rPr>
      </w:pPr>
      <w:r>
        <w:rPr>
          <w:rFonts w:hint="eastAsia"/>
          <w:color w:val="auto"/>
        </w:rPr>
        <w:t>4</w:t>
      </w:r>
      <w:r>
        <w:rPr>
          <w:color w:val="auto"/>
        </w:rPr>
        <w:t xml:space="preserve">. </w:t>
      </w:r>
      <w:r>
        <w:rPr>
          <w:rFonts w:hint="eastAsia"/>
          <w:color w:val="auto"/>
        </w:rPr>
        <w:t>奖励标准</w:t>
      </w:r>
    </w:p>
    <w:p>
      <w:pPr>
        <w:spacing w:line="560" w:lineRule="exact"/>
        <w:ind w:firstLine="640" w:firstLineChars="200"/>
        <w:rPr>
          <w:color w:val="auto"/>
        </w:rPr>
      </w:pPr>
      <w:r>
        <w:rPr>
          <w:rFonts w:hint="eastAsia"/>
          <w:color w:val="auto"/>
        </w:rPr>
        <w:t>（1）连续12个月内累计实缴到位资金在</w:t>
      </w:r>
      <w:r>
        <w:rPr>
          <w:rFonts w:cs="Times New Roman"/>
          <w:color w:val="auto"/>
        </w:rPr>
        <w:t>5</w:t>
      </w:r>
      <w:r>
        <w:rPr>
          <w:rFonts w:hint="eastAsia" w:cs="Times New Roman"/>
          <w:color w:val="auto"/>
        </w:rPr>
        <w:t>0</w:t>
      </w:r>
      <w:r>
        <w:rPr>
          <w:rFonts w:cs="Times New Roman"/>
          <w:color w:val="auto"/>
        </w:rPr>
        <w:t>00</w:t>
      </w:r>
      <w:r>
        <w:rPr>
          <w:rFonts w:hint="eastAsia"/>
          <w:color w:val="auto"/>
        </w:rPr>
        <w:t>万(含)美元以下的外资企业，给予实缴到位资金</w:t>
      </w:r>
      <w:r>
        <w:rPr>
          <w:rFonts w:cs="Times New Roman"/>
          <w:color w:val="auto"/>
        </w:rPr>
        <w:t>2</w:t>
      </w:r>
      <w:r>
        <w:rPr>
          <w:rFonts w:hint="eastAsia" w:cs="Times New Roman"/>
          <w:color w:val="auto"/>
        </w:rPr>
        <w:t>‰的</w:t>
      </w:r>
      <w:r>
        <w:rPr>
          <w:rFonts w:hint="eastAsia"/>
          <w:color w:val="auto"/>
        </w:rPr>
        <w:t>落户奖励；</w:t>
      </w:r>
    </w:p>
    <w:p>
      <w:pPr>
        <w:spacing w:line="560" w:lineRule="exact"/>
        <w:ind w:firstLine="640" w:firstLineChars="200"/>
        <w:rPr>
          <w:color w:val="auto"/>
        </w:rPr>
      </w:pPr>
      <w:r>
        <w:rPr>
          <w:rFonts w:hint="eastAsia"/>
          <w:color w:val="auto"/>
        </w:rPr>
        <w:t>（2）连续12个月内累计实缴到位资金在</w:t>
      </w:r>
      <w:r>
        <w:rPr>
          <w:rFonts w:cs="Times New Roman"/>
          <w:color w:val="auto"/>
        </w:rPr>
        <w:t>5</w:t>
      </w:r>
      <w:r>
        <w:rPr>
          <w:rFonts w:hint="eastAsia" w:cs="Times New Roman"/>
          <w:color w:val="auto"/>
        </w:rPr>
        <w:t>0</w:t>
      </w:r>
      <w:r>
        <w:rPr>
          <w:rFonts w:cs="Times New Roman"/>
          <w:color w:val="auto"/>
        </w:rPr>
        <w:t>00</w:t>
      </w:r>
      <w:r>
        <w:rPr>
          <w:rFonts w:hint="eastAsia"/>
          <w:color w:val="auto"/>
        </w:rPr>
        <w:t>万—</w:t>
      </w:r>
      <w:r>
        <w:rPr>
          <w:rFonts w:cs="Times New Roman"/>
          <w:color w:val="auto"/>
        </w:rPr>
        <w:t>1</w:t>
      </w:r>
      <w:r>
        <w:rPr>
          <w:rFonts w:hint="eastAsia"/>
          <w:color w:val="auto"/>
        </w:rPr>
        <w:t>亿(含)美元的外资企业，按</w:t>
      </w:r>
      <w:r>
        <w:rPr>
          <w:rFonts w:hint="eastAsia" w:ascii="仿宋_GB2312" w:hAnsi="仿宋_GB2312"/>
          <w:color w:val="auto"/>
        </w:rPr>
        <w:t>累进计算，</w:t>
      </w:r>
      <w:r>
        <w:rPr>
          <w:rFonts w:hint="eastAsia"/>
          <w:color w:val="auto"/>
        </w:rPr>
        <w:t>给予</w:t>
      </w:r>
      <w:r>
        <w:rPr>
          <w:rFonts w:hint="eastAsia" w:ascii="仿宋_GB2312" w:hAnsi="仿宋_GB2312"/>
          <w:color w:val="auto"/>
        </w:rPr>
        <w:t>超出部分</w:t>
      </w:r>
      <w:r>
        <w:rPr>
          <w:rFonts w:hint="eastAsia"/>
          <w:color w:val="auto"/>
        </w:rPr>
        <w:t>实缴到位资金</w:t>
      </w:r>
      <w:r>
        <w:rPr>
          <w:rFonts w:cs="Times New Roman"/>
          <w:color w:val="auto"/>
        </w:rPr>
        <w:t>3</w:t>
      </w:r>
      <w:r>
        <w:rPr>
          <w:rFonts w:hint="eastAsia" w:cs="Times New Roman"/>
          <w:color w:val="auto"/>
        </w:rPr>
        <w:t>‰的</w:t>
      </w:r>
      <w:r>
        <w:rPr>
          <w:rFonts w:hint="eastAsia"/>
          <w:color w:val="auto"/>
        </w:rPr>
        <w:t>落户奖励；</w:t>
      </w:r>
    </w:p>
    <w:p>
      <w:pPr>
        <w:spacing w:line="560" w:lineRule="exact"/>
        <w:ind w:firstLine="640" w:firstLineChars="200"/>
        <w:rPr>
          <w:color w:val="auto"/>
        </w:rPr>
      </w:pPr>
      <w:r>
        <w:rPr>
          <w:rFonts w:hint="eastAsia"/>
          <w:color w:val="auto"/>
        </w:rPr>
        <w:t>（3）连续12个月内累计实缴到位资金在</w:t>
      </w:r>
      <w:r>
        <w:rPr>
          <w:rFonts w:cs="Times New Roman"/>
          <w:color w:val="auto"/>
        </w:rPr>
        <w:t>1</w:t>
      </w:r>
      <w:r>
        <w:rPr>
          <w:rFonts w:hint="eastAsia"/>
          <w:color w:val="auto"/>
        </w:rPr>
        <w:t>亿(含)美元以上的外资企业，按</w:t>
      </w:r>
      <w:r>
        <w:rPr>
          <w:rFonts w:hint="eastAsia" w:ascii="仿宋_GB2312" w:hAnsi="仿宋_GB2312"/>
          <w:color w:val="auto"/>
        </w:rPr>
        <w:t>累进计算，</w:t>
      </w:r>
      <w:r>
        <w:rPr>
          <w:rFonts w:hint="eastAsia"/>
          <w:color w:val="auto"/>
        </w:rPr>
        <w:t>给予</w:t>
      </w:r>
      <w:r>
        <w:rPr>
          <w:rFonts w:hint="eastAsia" w:ascii="仿宋_GB2312" w:hAnsi="仿宋_GB2312"/>
          <w:color w:val="auto"/>
        </w:rPr>
        <w:t>超出部分</w:t>
      </w:r>
      <w:r>
        <w:rPr>
          <w:rFonts w:hint="eastAsia"/>
          <w:color w:val="auto"/>
        </w:rPr>
        <w:t>实缴到位资金</w:t>
      </w:r>
      <w:r>
        <w:rPr>
          <w:rFonts w:cs="Times New Roman"/>
          <w:color w:val="auto"/>
        </w:rPr>
        <w:t>4</w:t>
      </w:r>
      <w:r>
        <w:rPr>
          <w:rFonts w:hint="eastAsia" w:cs="Times New Roman"/>
          <w:color w:val="auto"/>
        </w:rPr>
        <w:t>‰的</w:t>
      </w:r>
      <w:r>
        <w:rPr>
          <w:rFonts w:hint="eastAsia"/>
          <w:color w:val="auto"/>
        </w:rPr>
        <w:t>落户奖励；</w:t>
      </w:r>
    </w:p>
    <w:p>
      <w:pPr>
        <w:spacing w:line="560" w:lineRule="exact"/>
        <w:ind w:firstLine="640" w:firstLineChars="200"/>
        <w:rPr>
          <w:color w:val="auto"/>
        </w:rPr>
      </w:pPr>
      <w:r>
        <w:rPr>
          <w:rFonts w:hint="eastAsia"/>
          <w:color w:val="auto"/>
        </w:rPr>
        <w:t>（4）一次性最高奖励300 万元，</w:t>
      </w:r>
      <w:r>
        <w:rPr>
          <w:rFonts w:hint="eastAsia" w:ascii="仿宋_GB2312" w:hAnsi="仿宋_GB2312"/>
          <w:color w:val="auto"/>
        </w:rPr>
        <w:t>奖励按实缴到位资金进账当日国家外汇管理局公布的汇率中间价结算为人民币发放；</w:t>
      </w:r>
      <w:r>
        <w:rPr>
          <w:color w:val="auto"/>
        </w:rPr>
        <w:t xml:space="preserve"> </w:t>
      </w:r>
    </w:p>
    <w:p>
      <w:pPr>
        <w:spacing w:line="560" w:lineRule="exact"/>
        <w:ind w:left="640" w:leftChars="200"/>
        <w:rPr>
          <w:color w:val="auto"/>
        </w:rPr>
      </w:pPr>
      <w:r>
        <w:rPr>
          <w:rFonts w:hint="eastAsia"/>
          <w:color w:val="auto"/>
        </w:rPr>
        <w:t>（5）每年奖励总额不超过</w:t>
      </w:r>
      <w:r>
        <w:rPr>
          <w:color w:val="auto"/>
        </w:rPr>
        <w:t>6</w:t>
      </w:r>
      <w:r>
        <w:rPr>
          <w:rFonts w:hint="eastAsia"/>
          <w:color w:val="auto"/>
        </w:rPr>
        <w:t>00万元。</w:t>
      </w:r>
      <w:r>
        <w:rPr>
          <w:color w:val="auto"/>
        </w:rPr>
        <w:br w:type="textWrapping"/>
      </w:r>
      <w:r>
        <w:rPr>
          <w:rFonts w:hint="eastAsia"/>
          <w:color w:val="auto"/>
        </w:rPr>
        <w:t>（</w:t>
      </w:r>
      <w:r>
        <w:rPr>
          <w:color w:val="auto"/>
        </w:rPr>
        <w:t>6</w:t>
      </w:r>
      <w:r>
        <w:rPr>
          <w:rFonts w:hint="eastAsia"/>
          <w:color w:val="auto"/>
        </w:rPr>
        <w:t>）奖补计算示例1：假设某外资企业连续12个月内</w:t>
      </w:r>
    </w:p>
    <w:p>
      <w:pPr>
        <w:spacing w:line="560" w:lineRule="exact"/>
        <w:rPr>
          <w:color w:val="auto"/>
        </w:rPr>
      </w:pPr>
      <w:r>
        <w:rPr>
          <w:rFonts w:hint="eastAsia"/>
          <w:color w:val="auto"/>
        </w:rPr>
        <w:t>累计实缴到位资本一次性到账1</w:t>
      </w:r>
      <w:r>
        <w:rPr>
          <w:color w:val="auto"/>
        </w:rPr>
        <w:t>.6</w:t>
      </w:r>
      <w:r>
        <w:rPr>
          <w:rFonts w:hint="eastAsia"/>
          <w:color w:val="auto"/>
        </w:rPr>
        <w:t>亿美元，当日汇率为7</w:t>
      </w:r>
      <w:r>
        <w:rPr>
          <w:color w:val="auto"/>
        </w:rPr>
        <w:t>.2</w:t>
      </w:r>
      <w:r>
        <w:rPr>
          <w:rFonts w:hint="eastAsia"/>
          <w:color w:val="auto"/>
        </w:rPr>
        <w:t>。则奖励金额计算公式为：</w:t>
      </w:r>
      <w:r>
        <w:rPr>
          <w:color w:val="auto"/>
        </w:rPr>
        <w:br w:type="textWrapping"/>
      </w:r>
      <w:r>
        <w:rPr>
          <w:rFonts w:hint="eastAsia"/>
          <w:color w:val="auto"/>
        </w:rPr>
        <w:t xml:space="preserve">    ①</w:t>
      </w:r>
      <w:r>
        <w:rPr>
          <w:color w:val="auto"/>
        </w:rPr>
        <w:t>5000</w:t>
      </w:r>
      <w:r>
        <w:rPr>
          <w:rFonts w:hint="eastAsia"/>
          <w:color w:val="auto"/>
        </w:rPr>
        <w:t>万美元</w:t>
      </w:r>
      <w:r>
        <w:rPr>
          <w:color w:val="auto"/>
        </w:rPr>
        <w:t>*2</w:t>
      </w:r>
      <w:r>
        <w:rPr>
          <w:rFonts w:hint="eastAsia"/>
          <w:color w:val="auto"/>
        </w:rPr>
        <w:t>‰+</w:t>
      </w:r>
      <w:r>
        <w:rPr>
          <w:color w:val="auto"/>
        </w:rPr>
        <w:t>5000</w:t>
      </w:r>
      <w:r>
        <w:rPr>
          <w:rFonts w:hint="eastAsia"/>
          <w:color w:val="auto"/>
        </w:rPr>
        <w:t>万美元</w:t>
      </w:r>
      <w:r>
        <w:rPr>
          <w:color w:val="auto"/>
        </w:rPr>
        <w:t>*3</w:t>
      </w:r>
      <w:r>
        <w:rPr>
          <w:rFonts w:hint="eastAsia"/>
          <w:color w:val="auto"/>
        </w:rPr>
        <w:t>‰+</w:t>
      </w:r>
      <w:r>
        <w:rPr>
          <w:color w:val="auto"/>
        </w:rPr>
        <w:t>6000</w:t>
      </w:r>
      <w:r>
        <w:rPr>
          <w:rFonts w:hint="eastAsia"/>
          <w:color w:val="auto"/>
        </w:rPr>
        <w:t>万美元</w:t>
      </w:r>
      <w:r>
        <w:rPr>
          <w:color w:val="auto"/>
        </w:rPr>
        <w:t>*4</w:t>
      </w:r>
      <w:r>
        <w:rPr>
          <w:rFonts w:hint="eastAsia"/>
          <w:color w:val="auto"/>
        </w:rPr>
        <w:t>‰=</w:t>
      </w:r>
      <w:r>
        <w:rPr>
          <w:color w:val="auto"/>
        </w:rPr>
        <w:t>49</w:t>
      </w:r>
      <w:r>
        <w:rPr>
          <w:rFonts w:hint="eastAsia"/>
          <w:color w:val="auto"/>
        </w:rPr>
        <w:t>万美元；</w:t>
      </w:r>
      <w:r>
        <w:rPr>
          <w:color w:val="auto"/>
        </w:rPr>
        <w:br w:type="textWrapping"/>
      </w:r>
      <w:r>
        <w:rPr>
          <w:rFonts w:hint="eastAsia"/>
          <w:color w:val="auto"/>
        </w:rPr>
        <w:t xml:space="preserve">    ②</w:t>
      </w:r>
      <w:r>
        <w:rPr>
          <w:color w:val="auto"/>
        </w:rPr>
        <w:t>49</w:t>
      </w:r>
      <w:r>
        <w:rPr>
          <w:rFonts w:hint="eastAsia"/>
          <w:color w:val="auto"/>
        </w:rPr>
        <w:t>万美元*</w:t>
      </w:r>
      <w:r>
        <w:rPr>
          <w:color w:val="auto"/>
        </w:rPr>
        <w:t>7.2=352.8</w:t>
      </w:r>
      <w:r>
        <w:rPr>
          <w:rFonts w:hint="eastAsia"/>
          <w:color w:val="auto"/>
        </w:rPr>
        <w:t>万元人民币（按当日汇率结算）；</w:t>
      </w:r>
    </w:p>
    <w:p>
      <w:pPr>
        <w:spacing w:line="560" w:lineRule="exact"/>
        <w:ind w:firstLine="640" w:firstLineChars="200"/>
        <w:rPr>
          <w:color w:val="auto"/>
        </w:rPr>
      </w:pPr>
      <w:r>
        <w:rPr>
          <w:rFonts w:hint="eastAsia"/>
          <w:color w:val="auto"/>
        </w:rPr>
        <w:t>③因一次性最高奖励300 万元，则该企业最终获得奖励总额为3</w:t>
      </w:r>
      <w:r>
        <w:rPr>
          <w:color w:val="auto"/>
        </w:rPr>
        <w:t>00</w:t>
      </w:r>
      <w:r>
        <w:rPr>
          <w:rFonts w:hint="eastAsia"/>
          <w:color w:val="auto"/>
        </w:rPr>
        <w:t>万元人民币。</w:t>
      </w:r>
      <w:r>
        <w:rPr>
          <w:color w:val="auto"/>
        </w:rPr>
        <w:br w:type="textWrapping"/>
      </w:r>
      <w:r>
        <w:rPr>
          <w:rFonts w:hint="eastAsia"/>
          <w:color w:val="auto"/>
        </w:rPr>
        <w:t xml:space="preserve">    （</w:t>
      </w:r>
      <w:r>
        <w:rPr>
          <w:color w:val="auto"/>
        </w:rPr>
        <w:t>7</w:t>
      </w:r>
      <w:r>
        <w:rPr>
          <w:rFonts w:hint="eastAsia"/>
          <w:color w:val="auto"/>
        </w:rPr>
        <w:t>）奖补计算示例</w:t>
      </w:r>
      <w:r>
        <w:rPr>
          <w:color w:val="auto"/>
        </w:rPr>
        <w:t>2</w:t>
      </w:r>
      <w:r>
        <w:rPr>
          <w:rFonts w:hint="eastAsia"/>
          <w:color w:val="auto"/>
        </w:rPr>
        <w:t>：假设某外资企业连续12个月内累计实缴到位资本分批到账1</w:t>
      </w:r>
      <w:r>
        <w:rPr>
          <w:color w:val="auto"/>
        </w:rPr>
        <w:t>.6</w:t>
      </w:r>
      <w:r>
        <w:rPr>
          <w:rFonts w:hint="eastAsia"/>
          <w:color w:val="auto"/>
        </w:rPr>
        <w:t>亿美元，第一批到账6</w:t>
      </w:r>
      <w:r>
        <w:rPr>
          <w:color w:val="auto"/>
        </w:rPr>
        <w:t>000</w:t>
      </w:r>
      <w:r>
        <w:rPr>
          <w:rFonts w:hint="eastAsia"/>
          <w:color w:val="auto"/>
        </w:rPr>
        <w:t>万美元、当日汇率为7</w:t>
      </w:r>
      <w:r>
        <w:rPr>
          <w:color w:val="auto"/>
        </w:rPr>
        <w:t>.1</w:t>
      </w:r>
      <w:r>
        <w:rPr>
          <w:rFonts w:hint="eastAsia"/>
          <w:color w:val="auto"/>
        </w:rPr>
        <w:t>；第二批到账6</w:t>
      </w:r>
      <w:r>
        <w:rPr>
          <w:color w:val="auto"/>
        </w:rPr>
        <w:t>000</w:t>
      </w:r>
      <w:r>
        <w:rPr>
          <w:rFonts w:hint="eastAsia"/>
          <w:color w:val="auto"/>
        </w:rPr>
        <w:t>万美元、当日汇率为7</w:t>
      </w:r>
      <w:r>
        <w:rPr>
          <w:color w:val="auto"/>
        </w:rPr>
        <w:t>.2</w:t>
      </w:r>
      <w:r>
        <w:rPr>
          <w:rFonts w:hint="eastAsia"/>
          <w:color w:val="auto"/>
        </w:rPr>
        <w:t>；第三批到账4</w:t>
      </w:r>
      <w:r>
        <w:rPr>
          <w:color w:val="auto"/>
        </w:rPr>
        <w:t>000</w:t>
      </w:r>
      <w:r>
        <w:rPr>
          <w:rFonts w:hint="eastAsia"/>
          <w:color w:val="auto"/>
        </w:rPr>
        <w:t>万美元、当日汇率为7</w:t>
      </w:r>
      <w:r>
        <w:rPr>
          <w:color w:val="auto"/>
        </w:rPr>
        <w:t>.3</w:t>
      </w:r>
      <w:r>
        <w:rPr>
          <w:rFonts w:hint="eastAsia"/>
          <w:color w:val="auto"/>
        </w:rPr>
        <w:t>；则奖励金额计算公式为：</w:t>
      </w:r>
      <w:r>
        <w:rPr>
          <w:color w:val="auto"/>
        </w:rPr>
        <w:br w:type="textWrapping"/>
      </w:r>
      <w:r>
        <w:rPr>
          <w:rFonts w:hint="eastAsia"/>
          <w:color w:val="auto"/>
        </w:rPr>
        <w:t xml:space="preserve">    ①（</w:t>
      </w:r>
      <w:r>
        <w:rPr>
          <w:color w:val="auto"/>
        </w:rPr>
        <w:t>5000</w:t>
      </w:r>
      <w:r>
        <w:rPr>
          <w:rFonts w:hint="eastAsia"/>
          <w:color w:val="auto"/>
        </w:rPr>
        <w:t>万美元</w:t>
      </w:r>
      <w:r>
        <w:rPr>
          <w:color w:val="auto"/>
        </w:rPr>
        <w:t>*2</w:t>
      </w:r>
      <w:r>
        <w:rPr>
          <w:rFonts w:hint="eastAsia"/>
          <w:color w:val="auto"/>
        </w:rPr>
        <w:t>‰*</w:t>
      </w:r>
      <w:r>
        <w:rPr>
          <w:color w:val="auto"/>
        </w:rPr>
        <w:t>7.1</w:t>
      </w:r>
      <w:r>
        <w:rPr>
          <w:rFonts w:hint="eastAsia"/>
          <w:color w:val="auto"/>
        </w:rPr>
        <w:t>）+（</w:t>
      </w:r>
      <w:r>
        <w:rPr>
          <w:color w:val="auto"/>
        </w:rPr>
        <w:t>1000</w:t>
      </w:r>
      <w:r>
        <w:rPr>
          <w:rFonts w:hint="eastAsia"/>
          <w:color w:val="auto"/>
        </w:rPr>
        <w:t>万美元</w:t>
      </w:r>
      <w:r>
        <w:rPr>
          <w:color w:val="auto"/>
        </w:rPr>
        <w:t>*3</w:t>
      </w:r>
      <w:r>
        <w:rPr>
          <w:rFonts w:hint="eastAsia"/>
          <w:color w:val="auto"/>
        </w:rPr>
        <w:t>‰*</w:t>
      </w:r>
      <w:r>
        <w:rPr>
          <w:color w:val="auto"/>
        </w:rPr>
        <w:t>7.1</w:t>
      </w:r>
      <w:r>
        <w:rPr>
          <w:rFonts w:hint="eastAsia"/>
          <w:color w:val="auto"/>
        </w:rPr>
        <w:t>+</w:t>
      </w:r>
      <w:r>
        <w:rPr>
          <w:color w:val="auto"/>
        </w:rPr>
        <w:t>4000</w:t>
      </w:r>
      <w:r>
        <w:rPr>
          <w:rFonts w:hint="eastAsia"/>
          <w:color w:val="auto"/>
        </w:rPr>
        <w:t>万美元*</w:t>
      </w:r>
      <w:r>
        <w:rPr>
          <w:color w:val="auto"/>
        </w:rPr>
        <w:t>3</w:t>
      </w:r>
      <w:r>
        <w:rPr>
          <w:rFonts w:hint="eastAsia"/>
          <w:color w:val="auto"/>
        </w:rPr>
        <w:t>‰*</w:t>
      </w:r>
      <w:r>
        <w:rPr>
          <w:color w:val="auto"/>
        </w:rPr>
        <w:t>7.2</w:t>
      </w:r>
      <w:r>
        <w:rPr>
          <w:rFonts w:hint="eastAsia"/>
          <w:color w:val="auto"/>
        </w:rPr>
        <w:t>）+（2</w:t>
      </w:r>
      <w:r>
        <w:rPr>
          <w:color w:val="auto"/>
        </w:rPr>
        <w:t>000</w:t>
      </w:r>
      <w:r>
        <w:rPr>
          <w:rFonts w:hint="eastAsia"/>
          <w:color w:val="auto"/>
        </w:rPr>
        <w:t>万美元*</w:t>
      </w:r>
      <w:r>
        <w:rPr>
          <w:color w:val="auto"/>
        </w:rPr>
        <w:t>4</w:t>
      </w:r>
      <w:r>
        <w:rPr>
          <w:rFonts w:hint="eastAsia"/>
          <w:color w:val="auto"/>
        </w:rPr>
        <w:t>‰*</w:t>
      </w:r>
      <w:r>
        <w:rPr>
          <w:color w:val="auto"/>
        </w:rPr>
        <w:t>7.2+4000</w:t>
      </w:r>
      <w:r>
        <w:rPr>
          <w:rFonts w:hint="eastAsia"/>
          <w:color w:val="auto"/>
        </w:rPr>
        <w:t>万美元</w:t>
      </w:r>
      <w:r>
        <w:rPr>
          <w:color w:val="auto"/>
        </w:rPr>
        <w:t>*4</w:t>
      </w:r>
      <w:r>
        <w:rPr>
          <w:rFonts w:hint="eastAsia"/>
          <w:color w:val="auto"/>
        </w:rPr>
        <w:t>‰*</w:t>
      </w:r>
      <w:r>
        <w:rPr>
          <w:color w:val="auto"/>
        </w:rPr>
        <w:t>7.3</w:t>
      </w:r>
      <w:r>
        <w:rPr>
          <w:rFonts w:hint="eastAsia"/>
          <w:color w:val="auto"/>
        </w:rPr>
        <w:t>）=</w:t>
      </w:r>
      <w:r>
        <w:rPr>
          <w:color w:val="auto"/>
        </w:rPr>
        <w:t>353.1</w:t>
      </w:r>
      <w:r>
        <w:rPr>
          <w:rFonts w:hint="eastAsia"/>
          <w:color w:val="auto"/>
        </w:rPr>
        <w:t>万元人民币；</w:t>
      </w:r>
      <w:r>
        <w:rPr>
          <w:color w:val="auto"/>
        </w:rPr>
        <w:br w:type="textWrapping"/>
      </w:r>
      <w:r>
        <w:rPr>
          <w:rFonts w:hint="eastAsia"/>
          <w:color w:val="auto"/>
        </w:rPr>
        <w:t xml:space="preserve">    ②因一次性最高奖励300 万元，则该企业最终获得奖励总额为3</w:t>
      </w:r>
      <w:r>
        <w:rPr>
          <w:color w:val="auto"/>
        </w:rPr>
        <w:t>00</w:t>
      </w:r>
      <w:r>
        <w:rPr>
          <w:rFonts w:hint="eastAsia"/>
          <w:color w:val="auto"/>
        </w:rPr>
        <w:t>万元人民币。</w:t>
      </w:r>
      <w:r>
        <w:rPr>
          <w:color w:val="auto"/>
        </w:rPr>
        <w:br w:type="textWrapping"/>
      </w:r>
      <w:r>
        <w:rPr>
          <w:rFonts w:hint="eastAsia"/>
          <w:color w:val="auto"/>
        </w:rPr>
        <w:t xml:space="preserve">    （8）奖补计算示例</w:t>
      </w:r>
      <w:r>
        <w:rPr>
          <w:color w:val="auto"/>
        </w:rPr>
        <w:t>3</w:t>
      </w:r>
      <w:r>
        <w:rPr>
          <w:rFonts w:hint="eastAsia"/>
          <w:color w:val="auto"/>
        </w:rPr>
        <w:t>：假设某存量外资企业（增资当年营业收入达到10万元&lt;含&gt;以上）2024年3月实缴到位资本8000万美元，当日汇率为7.1；2025年2月实缴到位资本8000万美元，当日汇率为7.2；2025年10月实缴到位资本6000万美元，当日汇率为7.3。则奖励金额计算公式为：</w:t>
      </w:r>
      <w:r>
        <w:rPr>
          <w:color w:val="auto"/>
        </w:rPr>
        <w:br w:type="textWrapping"/>
      </w:r>
      <w:r>
        <w:rPr>
          <w:rFonts w:hint="eastAsia"/>
          <w:color w:val="auto"/>
        </w:rPr>
        <w:t xml:space="preserve">    ①2024年3月至2025年2月为连续12个月，该周期内累计实缴到位资本共1.6亿美元，则计算公式为（</w:t>
      </w:r>
      <w:r>
        <w:rPr>
          <w:color w:val="auto"/>
        </w:rPr>
        <w:t>5000</w:t>
      </w:r>
      <w:r>
        <w:rPr>
          <w:rFonts w:hint="eastAsia"/>
          <w:color w:val="auto"/>
        </w:rPr>
        <w:t>万美元</w:t>
      </w:r>
      <w:r>
        <w:rPr>
          <w:color w:val="auto"/>
        </w:rPr>
        <w:t>*2</w:t>
      </w:r>
      <w:r>
        <w:rPr>
          <w:rFonts w:hint="eastAsia"/>
          <w:color w:val="auto"/>
        </w:rPr>
        <w:t>‰*</w:t>
      </w:r>
      <w:r>
        <w:rPr>
          <w:color w:val="auto"/>
        </w:rPr>
        <w:t>7.1</w:t>
      </w:r>
      <w:r>
        <w:rPr>
          <w:rFonts w:hint="eastAsia"/>
          <w:color w:val="auto"/>
        </w:rPr>
        <w:t>）+（3</w:t>
      </w:r>
      <w:r>
        <w:rPr>
          <w:color w:val="auto"/>
        </w:rPr>
        <w:t>000</w:t>
      </w:r>
      <w:r>
        <w:rPr>
          <w:rFonts w:hint="eastAsia"/>
          <w:color w:val="auto"/>
        </w:rPr>
        <w:t>万美元</w:t>
      </w:r>
      <w:r>
        <w:rPr>
          <w:color w:val="auto"/>
        </w:rPr>
        <w:t>*3</w:t>
      </w:r>
      <w:r>
        <w:rPr>
          <w:rFonts w:hint="eastAsia"/>
          <w:color w:val="auto"/>
        </w:rPr>
        <w:t>‰*</w:t>
      </w:r>
      <w:r>
        <w:rPr>
          <w:color w:val="auto"/>
        </w:rPr>
        <w:t>7.1</w:t>
      </w:r>
      <w:r>
        <w:rPr>
          <w:rFonts w:hint="eastAsia"/>
          <w:color w:val="auto"/>
        </w:rPr>
        <w:t>+2</w:t>
      </w:r>
      <w:r>
        <w:rPr>
          <w:color w:val="auto"/>
        </w:rPr>
        <w:t>000</w:t>
      </w:r>
      <w:r>
        <w:rPr>
          <w:rFonts w:hint="eastAsia"/>
          <w:color w:val="auto"/>
        </w:rPr>
        <w:t>万美元*</w:t>
      </w:r>
      <w:r>
        <w:rPr>
          <w:color w:val="auto"/>
        </w:rPr>
        <w:t>3</w:t>
      </w:r>
      <w:r>
        <w:rPr>
          <w:rFonts w:hint="eastAsia"/>
          <w:color w:val="auto"/>
        </w:rPr>
        <w:t>‰*</w:t>
      </w:r>
      <w:r>
        <w:rPr>
          <w:color w:val="auto"/>
        </w:rPr>
        <w:t>7.2</w:t>
      </w:r>
      <w:r>
        <w:rPr>
          <w:rFonts w:hint="eastAsia"/>
          <w:color w:val="auto"/>
        </w:rPr>
        <w:t>）+（6</w:t>
      </w:r>
      <w:r>
        <w:rPr>
          <w:color w:val="auto"/>
        </w:rPr>
        <w:t>000</w:t>
      </w:r>
      <w:r>
        <w:rPr>
          <w:rFonts w:hint="eastAsia"/>
          <w:color w:val="auto"/>
        </w:rPr>
        <w:t>万美元*</w:t>
      </w:r>
      <w:r>
        <w:rPr>
          <w:color w:val="auto"/>
        </w:rPr>
        <w:t>4</w:t>
      </w:r>
      <w:r>
        <w:rPr>
          <w:rFonts w:hint="eastAsia"/>
          <w:color w:val="auto"/>
        </w:rPr>
        <w:t>‰*</w:t>
      </w:r>
      <w:r>
        <w:rPr>
          <w:color w:val="auto"/>
        </w:rPr>
        <w:t>7.2</w:t>
      </w:r>
      <w:r>
        <w:rPr>
          <w:rFonts w:hint="eastAsia"/>
          <w:color w:val="auto"/>
        </w:rPr>
        <w:t>）=350.9万元人民币；因一次性最高奖励300 万元，本周期该企业最终获得奖励总额为3</w:t>
      </w:r>
      <w:r>
        <w:rPr>
          <w:color w:val="auto"/>
        </w:rPr>
        <w:t>00</w:t>
      </w:r>
      <w:r>
        <w:rPr>
          <w:rFonts w:hint="eastAsia"/>
          <w:color w:val="auto"/>
        </w:rPr>
        <w:t>万元人民币；</w:t>
      </w:r>
      <w:r>
        <w:rPr>
          <w:color w:val="auto"/>
        </w:rPr>
        <w:br w:type="textWrapping"/>
      </w:r>
      <w:r>
        <w:rPr>
          <w:rFonts w:hint="eastAsia"/>
          <w:color w:val="auto"/>
        </w:rPr>
        <w:t xml:space="preserve">    ②2025年10月实缴到位的资本6000万美元为下一个计算周期，计算公式为（5000万美元*</w:t>
      </w:r>
      <w:r>
        <w:rPr>
          <w:color w:val="auto"/>
        </w:rPr>
        <w:t>2</w:t>
      </w:r>
      <w:r>
        <w:rPr>
          <w:rFonts w:hint="eastAsia"/>
          <w:color w:val="auto"/>
        </w:rPr>
        <w:t>‰*7.3）+（1000万美元</w:t>
      </w:r>
      <w:r>
        <w:rPr>
          <w:color w:val="auto"/>
        </w:rPr>
        <w:t>*3</w:t>
      </w:r>
      <w:r>
        <w:rPr>
          <w:rFonts w:hint="eastAsia"/>
          <w:color w:val="auto"/>
        </w:rPr>
        <w:t>‰*</w:t>
      </w:r>
      <w:r>
        <w:rPr>
          <w:color w:val="auto"/>
        </w:rPr>
        <w:t>7.</w:t>
      </w:r>
      <w:r>
        <w:rPr>
          <w:rFonts w:hint="eastAsia"/>
          <w:color w:val="auto"/>
        </w:rPr>
        <w:t>3）=94.9万元人民币。</w:t>
      </w:r>
    </w:p>
    <w:p>
      <w:pPr>
        <w:spacing w:line="560" w:lineRule="exact"/>
        <w:ind w:firstLine="640" w:firstLineChars="200"/>
        <w:rPr>
          <w:color w:val="auto"/>
        </w:rPr>
      </w:pPr>
      <w:r>
        <w:rPr>
          <w:rFonts w:hint="eastAsia"/>
          <w:color w:val="auto"/>
        </w:rPr>
        <w:t>5</w:t>
      </w:r>
      <w:r>
        <w:rPr>
          <w:color w:val="auto"/>
        </w:rPr>
        <w:t xml:space="preserve">.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外资企业相关证明文件（银行业务回单、F</w:t>
      </w:r>
      <w:r>
        <w:rPr>
          <w:color w:val="auto"/>
        </w:rPr>
        <w:t>DI</w:t>
      </w:r>
      <w:r>
        <w:rPr>
          <w:rFonts w:hint="eastAsia"/>
          <w:color w:val="auto"/>
        </w:rPr>
        <w:t>凭证、出资证明等）；</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外资企业入驻商务楼宇的租赁合同复印件；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申报主体开展实质性经营的证明（3人以上社保缴纳证明、楼宇方证明文件等）；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《申请楼宇经济发展专项资金承诺书》；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7 \* GB3</w:instrText>
      </w:r>
      <w:r>
        <w:rPr>
          <w:color w:val="auto"/>
        </w:rPr>
        <w:instrText xml:space="preserve"> </w:instrText>
      </w:r>
      <w:r>
        <w:rPr>
          <w:color w:val="auto"/>
        </w:rPr>
        <w:fldChar w:fldCharType="separate"/>
      </w:r>
      <w:r>
        <w:rPr>
          <w:rFonts w:hint="eastAsia"/>
          <w:color w:val="auto"/>
        </w:rPr>
        <w:t>⑦</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⑧其他需要提供的资料。</w:t>
      </w:r>
    </w:p>
    <w:p>
      <w:pPr>
        <w:pStyle w:val="30"/>
        <w:spacing w:line="560" w:lineRule="exact"/>
        <w:outlineLvl w:val="1"/>
        <w:rPr>
          <w:rFonts w:ascii="Times New Roman" w:hAnsi="Times New Roman"/>
          <w:b w:val="0"/>
          <w:bCs w:val="0"/>
        </w:rPr>
      </w:pPr>
      <w:bookmarkStart w:id="29" w:name="_Toc163392937"/>
      <w:r>
        <w:rPr>
          <w:rFonts w:hint="eastAsia" w:ascii="Times New Roman" w:hAnsi="Times New Roman"/>
          <w:b w:val="0"/>
          <w:bCs w:val="0"/>
        </w:rPr>
        <w:t>（五）支持高能级企业落户</w:t>
      </w:r>
      <w:bookmarkEnd w:id="29"/>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5</w:t>
      </w:r>
      <w:r>
        <w:rPr>
          <w:color w:val="auto"/>
        </w:rPr>
        <w:t>00</w:t>
      </w:r>
      <w:r>
        <w:rPr>
          <w:rFonts w:hint="eastAsia"/>
          <w:color w:val="auto"/>
        </w:rPr>
        <w:t>强总部或区域性总部企业、上市企业、金融机构市一级以上分支机构在秀英区直接投资（绝对控股或相对控股）注册的法人企业。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（1）2</w:t>
      </w:r>
      <w:r>
        <w:rPr>
          <w:color w:val="auto"/>
        </w:rPr>
        <w:t>024</w:t>
      </w:r>
      <w:r>
        <w:rPr>
          <w:rFonts w:hint="eastAsia"/>
          <w:color w:val="auto"/>
        </w:rPr>
        <w:t>年</w:t>
      </w:r>
      <w:r>
        <w:rPr>
          <w:color w:val="auto"/>
        </w:rPr>
        <w:t>2月19日</w:t>
      </w:r>
      <w:r>
        <w:rPr>
          <w:rFonts w:hint="eastAsia"/>
          <w:color w:val="auto"/>
        </w:rPr>
        <w:t>起将注册地址迁入秀英区或在秀英区新注册的500强（财富世界500强、中国500强、民营500强）企业经省市商务部门认证为总部或区域性总部，</w:t>
      </w:r>
      <w:r>
        <w:rPr>
          <w:rFonts w:hint="eastAsia" w:ascii="仿宋_GB2312" w:hAnsi="仿宋_GB2312"/>
          <w:color w:val="auto"/>
        </w:rPr>
        <w:t>协议承诺入驻经营不少于两年；</w:t>
      </w:r>
    </w:p>
    <w:p>
      <w:pPr>
        <w:spacing w:line="560" w:lineRule="exact"/>
        <w:ind w:firstLine="640" w:firstLineChars="200"/>
        <w:rPr>
          <w:rFonts w:ascii="仿宋_GB2312" w:hAnsi="仿宋_GB2312"/>
          <w:color w:val="auto"/>
        </w:rPr>
      </w:pPr>
      <w:r>
        <w:rPr>
          <w:rFonts w:hint="eastAsia"/>
          <w:color w:val="auto"/>
        </w:rPr>
        <w:t>（</w:t>
      </w:r>
      <w:r>
        <w:rPr>
          <w:color w:val="auto"/>
        </w:rPr>
        <w:t>2</w:t>
      </w:r>
      <w:r>
        <w:rPr>
          <w:rFonts w:hint="eastAsia"/>
          <w:color w:val="auto"/>
        </w:rPr>
        <w:t>）2</w:t>
      </w:r>
      <w:r>
        <w:rPr>
          <w:color w:val="auto"/>
        </w:rPr>
        <w:t>024</w:t>
      </w:r>
      <w:r>
        <w:rPr>
          <w:rFonts w:hint="eastAsia"/>
          <w:color w:val="auto"/>
        </w:rPr>
        <w:t>年</w:t>
      </w:r>
      <w:r>
        <w:rPr>
          <w:color w:val="auto"/>
        </w:rPr>
        <w:t>2月19日</w:t>
      </w:r>
      <w:r>
        <w:rPr>
          <w:rFonts w:hint="eastAsia"/>
          <w:color w:val="auto"/>
        </w:rPr>
        <w:t>起将注册地址迁入秀英区或在秀英区新注册的在境内沪深主板、北交所、创业板、科创板和海外主要资本市场主板和创业板上市且落户次年营业收入规模达到5000万元以上的企业，</w:t>
      </w:r>
      <w:r>
        <w:rPr>
          <w:rFonts w:hint="eastAsia" w:ascii="仿宋_GB2312" w:hAnsi="仿宋_GB2312"/>
          <w:color w:val="auto"/>
        </w:rPr>
        <w:t>协议承诺入驻经营不少于两年；</w:t>
      </w:r>
    </w:p>
    <w:p>
      <w:pPr>
        <w:spacing w:line="560" w:lineRule="exact"/>
        <w:ind w:firstLine="640" w:firstLineChars="200"/>
        <w:rPr>
          <w:color w:val="auto"/>
        </w:rPr>
      </w:pPr>
      <w:r>
        <w:rPr>
          <w:rFonts w:hint="eastAsia"/>
          <w:color w:val="auto"/>
        </w:rPr>
        <w:t>（</w:t>
      </w:r>
      <w:r>
        <w:rPr>
          <w:color w:val="auto"/>
        </w:rPr>
        <w:t>3</w:t>
      </w:r>
      <w:r>
        <w:rPr>
          <w:rFonts w:hint="eastAsia"/>
          <w:color w:val="auto"/>
        </w:rPr>
        <w:t>）2</w:t>
      </w:r>
      <w:r>
        <w:rPr>
          <w:color w:val="auto"/>
        </w:rPr>
        <w:t>024</w:t>
      </w:r>
      <w:r>
        <w:rPr>
          <w:rFonts w:hint="eastAsia"/>
          <w:color w:val="auto"/>
        </w:rPr>
        <w:t>年</w:t>
      </w:r>
      <w:r>
        <w:rPr>
          <w:color w:val="auto"/>
        </w:rPr>
        <w:t>2月19日</w:t>
      </w:r>
      <w:r>
        <w:rPr>
          <w:rFonts w:hint="eastAsia"/>
          <w:color w:val="auto"/>
        </w:rPr>
        <w:t>起将注册地址迁入秀英区或在秀英区新注册的银行、证券、保险等金融机构的市一级以上分支机构在秀英区直接投资（绝对控股或相对控股）的法人企业，</w:t>
      </w:r>
      <w:r>
        <w:rPr>
          <w:rFonts w:hint="eastAsia" w:ascii="仿宋_GB2312" w:hAnsi="仿宋_GB2312"/>
          <w:color w:val="auto"/>
        </w:rPr>
        <w:t>协议承诺入驻经营不少于两年</w:t>
      </w:r>
      <w:r>
        <w:rPr>
          <w:rFonts w:hint="eastAsia"/>
          <w:color w:val="auto"/>
        </w:rPr>
        <w:t>。</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（1）高能级500强企业落户，给予</w:t>
      </w:r>
      <w:r>
        <w:rPr>
          <w:color w:val="auto"/>
        </w:rPr>
        <w:t>5</w:t>
      </w:r>
      <w:r>
        <w:rPr>
          <w:rFonts w:hint="eastAsia"/>
          <w:color w:val="auto"/>
        </w:rPr>
        <w:t>0万元一次性奖励；</w:t>
      </w:r>
    </w:p>
    <w:p>
      <w:pPr>
        <w:spacing w:line="560" w:lineRule="exact"/>
        <w:ind w:firstLine="640" w:firstLineChars="200"/>
        <w:rPr>
          <w:color w:val="auto"/>
        </w:rPr>
      </w:pPr>
      <w:r>
        <w:rPr>
          <w:rFonts w:hint="eastAsia"/>
          <w:color w:val="auto"/>
        </w:rPr>
        <w:t>（2）境内沪深主板、北交所、创业板、科创板和海外主要资本市场主板和创业板上市且落户次年营业收入规模达到5000万元以上的企业，给予30万元一次性奖励；</w:t>
      </w:r>
    </w:p>
    <w:p>
      <w:pPr>
        <w:spacing w:line="560" w:lineRule="exact"/>
        <w:ind w:firstLine="640" w:firstLineChars="200"/>
        <w:rPr>
          <w:color w:val="auto"/>
        </w:rPr>
      </w:pPr>
      <w:r>
        <w:rPr>
          <w:rFonts w:hint="eastAsia"/>
          <w:color w:val="auto"/>
        </w:rPr>
        <w:t>（</w:t>
      </w:r>
      <w:r>
        <w:rPr>
          <w:color w:val="auto"/>
        </w:rPr>
        <w:t>3</w:t>
      </w:r>
      <w:r>
        <w:rPr>
          <w:rFonts w:hint="eastAsia"/>
          <w:color w:val="auto"/>
        </w:rPr>
        <w:t>）银行、证券、保险等金融机构的市一级以上分支机构在秀英区直接投资（绝对控股或相对控股）注册的法人企业，给予30万元一次性奖励；</w:t>
      </w:r>
    </w:p>
    <w:p>
      <w:pPr>
        <w:spacing w:line="560" w:lineRule="exact"/>
        <w:ind w:firstLine="640" w:firstLineChars="200"/>
        <w:rPr>
          <w:color w:val="auto"/>
        </w:rPr>
      </w:pPr>
      <w:r>
        <w:rPr>
          <w:rFonts w:hint="eastAsia"/>
          <w:color w:val="auto"/>
        </w:rPr>
        <w:t>（</w:t>
      </w:r>
      <w:r>
        <w:rPr>
          <w:color w:val="auto"/>
        </w:rPr>
        <w:t>4</w:t>
      </w:r>
      <w:r>
        <w:rPr>
          <w:rFonts w:hint="eastAsia"/>
          <w:color w:val="auto"/>
        </w:rPr>
        <w:t>）每年奖励总额不超过</w:t>
      </w:r>
      <w:r>
        <w:rPr>
          <w:color w:val="auto"/>
        </w:rPr>
        <w:t>3</w:t>
      </w:r>
      <w:r>
        <w:rPr>
          <w:rFonts w:hint="eastAsia"/>
          <w:color w:val="auto"/>
        </w:rPr>
        <w:t>00万元。</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《秀英华区楼宇经济发展专项资金申请表》；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高能级企业相关证明文件：</w:t>
      </w:r>
      <w:r>
        <w:rPr>
          <w:color w:val="auto"/>
        </w:rPr>
        <w:br w:type="textWrapping"/>
      </w:r>
      <w:r>
        <w:rPr>
          <w:color w:val="auto"/>
        </w:rPr>
        <w:t xml:space="preserve">    </w:t>
      </w:r>
      <w:r>
        <w:rPr>
          <w:rFonts w:hint="eastAsia"/>
          <w:color w:val="auto"/>
        </w:rPr>
        <w:t>a</w:t>
      </w:r>
      <w:r>
        <w:rPr>
          <w:color w:val="auto"/>
        </w:rPr>
        <w:t>.500</w:t>
      </w:r>
      <w:r>
        <w:rPr>
          <w:rFonts w:hint="eastAsia"/>
          <w:color w:val="auto"/>
        </w:rPr>
        <w:t>强企业：5</w:t>
      </w:r>
      <w:r>
        <w:rPr>
          <w:color w:val="auto"/>
        </w:rPr>
        <w:t>00</w:t>
      </w:r>
      <w:r>
        <w:rPr>
          <w:rFonts w:hint="eastAsia"/>
          <w:color w:val="auto"/>
        </w:rPr>
        <w:t>强榜单、省市商务部门认定总部企业文件；</w:t>
      </w:r>
    </w:p>
    <w:p>
      <w:pPr>
        <w:spacing w:line="560" w:lineRule="exact"/>
        <w:ind w:firstLine="640" w:firstLineChars="200"/>
        <w:rPr>
          <w:color w:val="auto"/>
        </w:rPr>
      </w:pPr>
      <w:r>
        <w:rPr>
          <w:rFonts w:hint="eastAsia"/>
          <w:color w:val="auto"/>
        </w:rPr>
        <w:t>b</w:t>
      </w:r>
      <w:r>
        <w:rPr>
          <w:color w:val="auto"/>
        </w:rPr>
        <w:t>.</w:t>
      </w:r>
      <w:r>
        <w:rPr>
          <w:rFonts w:hint="eastAsia"/>
          <w:color w:val="auto"/>
        </w:rPr>
        <w:t>上市公司：国家企业信用信息公示系统官网公示信息打印材料以及其他证明文件；</w:t>
      </w:r>
    </w:p>
    <w:p>
      <w:pPr>
        <w:spacing w:line="560" w:lineRule="exact"/>
        <w:ind w:firstLine="640" w:firstLineChars="200"/>
        <w:rPr>
          <w:color w:val="auto"/>
        </w:rPr>
      </w:pPr>
      <w:r>
        <w:rPr>
          <w:rFonts w:hint="eastAsia"/>
          <w:color w:val="auto"/>
        </w:rPr>
        <w:t>c</w:t>
      </w:r>
      <w:r>
        <w:rPr>
          <w:color w:val="auto"/>
        </w:rPr>
        <w:t>.</w:t>
      </w:r>
      <w:r>
        <w:rPr>
          <w:rFonts w:hint="eastAsia"/>
          <w:color w:val="auto"/>
        </w:rPr>
        <w:t>金融机构：金融机构法人许可证或营业许可证、税务登记和统计关系隶属秀英区证明材料等；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高能级企业入驻商务楼宇的租赁合同复印件；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申报主体开展实质性经营的证明（3人以上社保缴纳证明、楼宇方证明文件等）；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《申请秀英区楼宇经济发展专项资金承诺书》；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7 \* GB3</w:instrText>
      </w:r>
      <w:r>
        <w:rPr>
          <w:color w:val="auto"/>
        </w:rPr>
        <w:instrText xml:space="preserve"> </w:instrText>
      </w:r>
      <w:r>
        <w:rPr>
          <w:color w:val="auto"/>
        </w:rPr>
        <w:fldChar w:fldCharType="separate"/>
      </w:r>
      <w:r>
        <w:rPr>
          <w:rFonts w:hint="eastAsia"/>
          <w:color w:val="auto"/>
        </w:rPr>
        <w:t>⑦</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⑧其他需要提供的资料。</w:t>
      </w:r>
    </w:p>
    <w:p>
      <w:pPr>
        <w:pStyle w:val="30"/>
        <w:spacing w:line="560" w:lineRule="exact"/>
        <w:outlineLvl w:val="1"/>
        <w:rPr>
          <w:rFonts w:ascii="Times New Roman" w:hAnsi="Times New Roman"/>
          <w:b w:val="0"/>
          <w:bCs w:val="0"/>
        </w:rPr>
      </w:pPr>
      <w:bookmarkStart w:id="30" w:name="_Toc163392938"/>
      <w:r>
        <w:rPr>
          <w:rFonts w:hint="eastAsia" w:ascii="Times New Roman" w:hAnsi="Times New Roman"/>
          <w:b w:val="0"/>
          <w:bCs w:val="0"/>
        </w:rPr>
        <w:t>（六）支持科研平台落户</w:t>
      </w:r>
      <w:bookmarkEnd w:id="30"/>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国家、省、市级重点实验室或工程技术研究中心等科技研发平台。</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color w:val="auto"/>
        </w:rPr>
      </w:pPr>
      <w:r>
        <w:rPr>
          <w:rFonts w:hint="eastAsia"/>
          <w:color w:val="auto"/>
        </w:rPr>
        <w:t>（1）2</w:t>
      </w:r>
      <w:r>
        <w:rPr>
          <w:color w:val="auto"/>
        </w:rPr>
        <w:t>024</w:t>
      </w:r>
      <w:r>
        <w:rPr>
          <w:rFonts w:hint="eastAsia"/>
          <w:color w:val="auto"/>
        </w:rPr>
        <w:t>年</w:t>
      </w:r>
      <w:r>
        <w:rPr>
          <w:color w:val="auto"/>
        </w:rPr>
        <w:t>2月19日</w:t>
      </w:r>
      <w:r>
        <w:rPr>
          <w:rFonts w:hint="eastAsia"/>
          <w:color w:val="auto"/>
        </w:rPr>
        <w:t>起将注册地址迁入秀英区或在秀英区新注册的国家、省、市级重点实验室或工程技术研究中心等科技研发平台；</w:t>
      </w:r>
    </w:p>
    <w:p>
      <w:pPr>
        <w:spacing w:line="560" w:lineRule="exact"/>
        <w:ind w:firstLine="640" w:firstLineChars="200"/>
        <w:rPr>
          <w:color w:val="auto"/>
        </w:rPr>
      </w:pPr>
      <w:r>
        <w:rPr>
          <w:rFonts w:hint="eastAsia"/>
          <w:color w:val="auto"/>
        </w:rPr>
        <w:t>（</w:t>
      </w:r>
      <w:r>
        <w:rPr>
          <w:color w:val="auto"/>
        </w:rPr>
        <w:t>2</w:t>
      </w:r>
      <w:r>
        <w:rPr>
          <w:rFonts w:hint="eastAsia"/>
          <w:color w:val="auto"/>
        </w:rPr>
        <w:t>）</w:t>
      </w:r>
      <w:r>
        <w:rPr>
          <w:rFonts w:hint="eastAsia" w:ascii="仿宋_GB2312" w:hAnsi="仿宋_GB2312"/>
          <w:color w:val="auto"/>
        </w:rPr>
        <w:t>协议承诺入驻经营不少于两年。</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（1）国家级重点实验室或工程技术研究中心等科技研发平台落户，给予</w:t>
      </w:r>
      <w:r>
        <w:rPr>
          <w:color w:val="auto"/>
        </w:rPr>
        <w:t>20</w:t>
      </w:r>
      <w:r>
        <w:rPr>
          <w:rFonts w:hint="eastAsia"/>
          <w:color w:val="auto"/>
        </w:rPr>
        <w:t>万一次性奖励；</w:t>
      </w:r>
    </w:p>
    <w:p>
      <w:pPr>
        <w:spacing w:line="560" w:lineRule="exact"/>
        <w:ind w:firstLine="640" w:firstLineChars="200"/>
        <w:rPr>
          <w:color w:val="auto"/>
        </w:rPr>
      </w:pPr>
      <w:r>
        <w:rPr>
          <w:rFonts w:hint="eastAsia"/>
          <w:color w:val="auto"/>
        </w:rPr>
        <w:t>（2）省级重点实验室或工程技术研究中心等科技研发平台落户，给予</w:t>
      </w:r>
      <w:r>
        <w:rPr>
          <w:color w:val="auto"/>
        </w:rPr>
        <w:t>10</w:t>
      </w:r>
      <w:r>
        <w:rPr>
          <w:rFonts w:hint="eastAsia"/>
          <w:color w:val="auto"/>
        </w:rPr>
        <w:t>万一次性奖励；</w:t>
      </w:r>
    </w:p>
    <w:p>
      <w:pPr>
        <w:spacing w:line="560" w:lineRule="exact"/>
        <w:ind w:firstLine="640" w:firstLineChars="200"/>
        <w:rPr>
          <w:color w:val="auto"/>
        </w:rPr>
      </w:pPr>
      <w:r>
        <w:rPr>
          <w:rFonts w:hint="eastAsia"/>
          <w:color w:val="auto"/>
        </w:rPr>
        <w:t>（3）市级重点实验室或工程技术研究中心等科技研发平台落户，给予</w:t>
      </w:r>
      <w:r>
        <w:rPr>
          <w:color w:val="auto"/>
        </w:rPr>
        <w:t>5</w:t>
      </w:r>
      <w:r>
        <w:rPr>
          <w:rFonts w:hint="eastAsia"/>
          <w:color w:val="auto"/>
        </w:rPr>
        <w:t>万一次性奖励；</w:t>
      </w:r>
    </w:p>
    <w:p>
      <w:pPr>
        <w:spacing w:line="560" w:lineRule="exact"/>
        <w:ind w:firstLine="640" w:firstLineChars="200"/>
        <w:rPr>
          <w:color w:val="auto"/>
        </w:rPr>
      </w:pPr>
      <w:r>
        <w:rPr>
          <w:rFonts w:hint="eastAsia"/>
          <w:color w:val="auto"/>
        </w:rPr>
        <w:t>（</w:t>
      </w:r>
      <w:r>
        <w:rPr>
          <w:color w:val="auto"/>
        </w:rPr>
        <w:t>4</w:t>
      </w:r>
      <w:r>
        <w:rPr>
          <w:rFonts w:hint="eastAsia"/>
          <w:color w:val="auto"/>
        </w:rPr>
        <w:t>）每年奖励总额不超过</w:t>
      </w:r>
      <w:r>
        <w:rPr>
          <w:color w:val="auto"/>
        </w:rPr>
        <w:t>1</w:t>
      </w:r>
      <w:r>
        <w:rPr>
          <w:rFonts w:hint="eastAsia"/>
          <w:color w:val="auto"/>
        </w:rPr>
        <w:t>00万元。</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省市科工信部门出具的科研平台相关认定证明文件（如省市科工信部门关于科研平台立项并备案的批复文件复印件）；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科研平台入驻商务楼宇的租赁合同复印件；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申报主体开展实质性经营的证明（3人以上社保缴纳证明、楼宇方证明文件等）；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《申请楼宇经济发展专项资金承诺书》；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7 \* GB3</w:instrText>
      </w:r>
      <w:r>
        <w:rPr>
          <w:color w:val="auto"/>
        </w:rPr>
        <w:instrText xml:space="preserve"> </w:instrText>
      </w:r>
      <w:r>
        <w:rPr>
          <w:color w:val="auto"/>
        </w:rPr>
        <w:fldChar w:fldCharType="separate"/>
      </w:r>
      <w:r>
        <w:rPr>
          <w:rFonts w:hint="eastAsia"/>
          <w:color w:val="auto"/>
        </w:rPr>
        <w:t>⑦</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⑧其他需要提供的资料。</w:t>
      </w:r>
    </w:p>
    <w:p>
      <w:pPr>
        <w:pStyle w:val="30"/>
        <w:spacing w:line="560" w:lineRule="exact"/>
        <w:outlineLvl w:val="1"/>
        <w:rPr>
          <w:rFonts w:hAnsi="Times New Roman"/>
          <w:b w:val="0"/>
          <w:bCs w:val="0"/>
        </w:rPr>
      </w:pPr>
      <w:bookmarkStart w:id="31" w:name="_Toc163392939"/>
      <w:r>
        <w:rPr>
          <w:rFonts w:hint="eastAsia" w:ascii="Times New Roman" w:hAnsi="Times New Roman"/>
          <w:b w:val="0"/>
          <w:bCs w:val="0"/>
        </w:rPr>
        <w:t>（七）支持楼宇加快建设进度</w:t>
      </w:r>
      <w:bookmarkEnd w:id="31"/>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楼宇开发企业。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即时备案，2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未开工建设或已经开工建设未竣工投产的楼宇项目；</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获得施工许可手续之日起两年内完成建设投产；</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自持比例不低于50%的商务楼宇。</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（1）按其办公建筑面积（不含配套设施用房建筑面积）给予楼宇开发企业20元/平方米的投资奖励；</w:t>
      </w:r>
    </w:p>
    <w:p>
      <w:pPr>
        <w:spacing w:line="560" w:lineRule="exact"/>
        <w:ind w:firstLine="640" w:firstLineChars="200"/>
        <w:rPr>
          <w:color w:val="auto"/>
        </w:rPr>
      </w:pPr>
      <w:r>
        <w:rPr>
          <w:rFonts w:hint="eastAsia"/>
          <w:color w:val="auto"/>
        </w:rPr>
        <w:t>（2）单个项目奖励不超过</w:t>
      </w:r>
      <w:r>
        <w:rPr>
          <w:color w:val="auto"/>
        </w:rPr>
        <w:t>5</w:t>
      </w:r>
      <w:r>
        <w:rPr>
          <w:rFonts w:hint="eastAsia"/>
          <w:color w:val="auto"/>
        </w:rPr>
        <w:t>0万元。</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（1）报备并纳入年度计划，需提交资料：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《秀英区楼宇经济年度备案登记表》；</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申报主体的营业执照副本复印件；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当前楼宇照片；</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楼宇情况介绍资料（项目概况、今后招商目标定位等）；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相关资规部门及行政审批部门的规划许可证、施工许可证的复印件；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其他需要提供的资料。</w:t>
      </w:r>
    </w:p>
    <w:p>
      <w:pPr>
        <w:spacing w:line="560" w:lineRule="exact"/>
        <w:ind w:firstLine="640" w:firstLineChars="200"/>
        <w:rPr>
          <w:color w:val="auto"/>
        </w:rPr>
      </w:pPr>
      <w:r>
        <w:rPr>
          <w:rFonts w:hint="eastAsia"/>
          <w:color w:val="auto"/>
        </w:rPr>
        <w:t>（</w:t>
      </w:r>
      <w:r>
        <w:rPr>
          <w:color w:val="auto"/>
        </w:rPr>
        <w:t>2</w:t>
      </w:r>
      <w:r>
        <w:rPr>
          <w:rFonts w:hint="eastAsia"/>
          <w:color w:val="auto"/>
        </w:rPr>
        <w:t>）项目竣工后申请补贴，需提交资料：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楼宇照片（外立面、内部结构等）；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建设主管部门出具的楼宇竣工证明材料复印件；</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《秀英区自持物业五年内不分割出售承诺书》；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32" w:name="_Toc163392940"/>
      <w:r>
        <w:rPr>
          <w:rFonts w:hint="eastAsia" w:ascii="Times New Roman" w:hAnsi="Times New Roman"/>
          <w:b w:val="0"/>
          <w:bCs w:val="0"/>
        </w:rPr>
        <w:t>（八）支持楼宇推进标准化认证</w:t>
      </w:r>
      <w:bookmarkEnd w:id="32"/>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楼宇开发企业、楼宇业主、楼宇运营企业、物业管理企业。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color w:val="auto"/>
        </w:rPr>
      </w:pPr>
      <w:r>
        <w:rPr>
          <w:rFonts w:hint="eastAsia"/>
          <w:color w:val="auto"/>
        </w:rPr>
        <w:t>（1）申报项目应通过《政策》“适用范围”规定的“商务楼宇”认定；</w:t>
      </w:r>
      <w:r>
        <w:rPr>
          <w:color w:val="auto"/>
        </w:rPr>
        <w:t xml:space="preserve"> </w:t>
      </w:r>
    </w:p>
    <w:p>
      <w:pPr>
        <w:spacing w:line="560" w:lineRule="exact"/>
        <w:ind w:firstLine="640" w:firstLineChars="200"/>
        <w:rPr>
          <w:color w:val="auto"/>
        </w:rPr>
      </w:pPr>
      <w:r>
        <w:rPr>
          <w:rFonts w:hint="eastAsia"/>
          <w:color w:val="auto"/>
        </w:rPr>
        <w:t>（2）获得任一项国家绿色建筑、LEED（绿色建筑）、WELL（健康建筑）、BOMA（商业地产）评价认证。</w:t>
      </w:r>
      <w:r>
        <w:rPr>
          <w:color w:val="auto"/>
        </w:rPr>
        <w:t xml:space="preserve"> </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rFonts w:ascii="仿宋_GB2312" w:hAnsi="仿宋_GB2312"/>
          <w:color w:val="auto"/>
        </w:rPr>
      </w:pPr>
      <w:r>
        <w:rPr>
          <w:rFonts w:hint="eastAsia"/>
          <w:color w:val="auto"/>
        </w:rPr>
        <w:t>（1）</w:t>
      </w:r>
      <w:r>
        <w:rPr>
          <w:color w:val="auto"/>
        </w:rPr>
        <w:t>对获得任一项国家绿色建筑、LEED（绿色建筑）、WELL（健康建筑）、BOMA（商业地产）评价认证的，给予实施主体2</w:t>
      </w:r>
      <w:r>
        <w:rPr>
          <w:rFonts w:hint="eastAsia"/>
          <w:color w:val="auto"/>
        </w:rPr>
        <w:t>0</w:t>
      </w:r>
      <w:r>
        <w:rPr>
          <w:color w:val="auto"/>
        </w:rPr>
        <w:t>万元一次性奖励</w:t>
      </w:r>
      <w:r>
        <w:rPr>
          <w:rFonts w:hint="eastAsia" w:ascii="仿宋_GB2312" w:hAnsi="仿宋_GB2312"/>
          <w:color w:val="auto"/>
        </w:rPr>
        <w:t>；</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（1）《秀英区楼宇经济发展专项资金申请表》；</w:t>
      </w:r>
    </w:p>
    <w:p>
      <w:pPr>
        <w:spacing w:line="560" w:lineRule="exact"/>
        <w:ind w:firstLine="640" w:firstLineChars="200"/>
        <w:rPr>
          <w:color w:val="auto"/>
        </w:rPr>
      </w:pPr>
      <w:r>
        <w:rPr>
          <w:rFonts w:hint="eastAsia"/>
          <w:color w:val="auto"/>
        </w:rPr>
        <w:t>（</w:t>
      </w:r>
      <w:r>
        <w:rPr>
          <w:color w:val="auto"/>
        </w:rPr>
        <w:t>2</w:t>
      </w:r>
      <w:r>
        <w:rPr>
          <w:rFonts w:hint="eastAsia"/>
          <w:color w:val="auto"/>
        </w:rPr>
        <w:t>）认证证书；</w:t>
      </w:r>
    </w:p>
    <w:p>
      <w:pPr>
        <w:spacing w:line="560" w:lineRule="exact"/>
        <w:ind w:firstLine="640" w:firstLineChars="200"/>
        <w:rPr>
          <w:color w:val="auto"/>
        </w:rPr>
      </w:pPr>
      <w:r>
        <w:rPr>
          <w:rFonts w:hint="eastAsia"/>
          <w:color w:val="auto"/>
        </w:rPr>
        <w:t>（3）申报主体的统一社会信用代码营业执照复印件、法定代表人身份证复印件、项目经办人身份证复印件、法定代表人授权委托证明书、法定代表人身份证明书；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（4）</w:t>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（5）其他需要提供的资料。</w:t>
      </w:r>
    </w:p>
    <w:p>
      <w:pPr>
        <w:pStyle w:val="30"/>
        <w:spacing w:line="560" w:lineRule="exact"/>
        <w:outlineLvl w:val="1"/>
        <w:rPr>
          <w:rFonts w:ascii="Times New Roman" w:hAnsi="Times New Roman"/>
          <w:b w:val="0"/>
          <w:bCs w:val="0"/>
        </w:rPr>
      </w:pPr>
      <w:bookmarkStart w:id="33" w:name="_Toc163392941"/>
      <w:r>
        <w:rPr>
          <w:rFonts w:hint="eastAsia" w:ascii="Times New Roman" w:hAnsi="Times New Roman"/>
          <w:b w:val="0"/>
          <w:bCs w:val="0"/>
        </w:rPr>
        <w:t>（九）</w:t>
      </w:r>
      <w:r>
        <w:rPr>
          <w:rFonts w:ascii="Times New Roman" w:hAnsi="Times New Roman"/>
          <w:b w:val="0"/>
          <w:bCs w:val="0"/>
        </w:rPr>
        <w:t>支持楼宇增加</w:t>
      </w:r>
      <w:r>
        <w:rPr>
          <w:rFonts w:hint="eastAsia" w:ascii="Times New Roman" w:hAnsi="Times New Roman"/>
          <w:b w:val="0"/>
          <w:bCs w:val="0"/>
        </w:rPr>
        <w:t>产权</w:t>
      </w:r>
      <w:r>
        <w:rPr>
          <w:rFonts w:ascii="Times New Roman" w:hAnsi="Times New Roman"/>
          <w:b w:val="0"/>
          <w:bCs w:val="0"/>
        </w:rPr>
        <w:t>自持比例</w:t>
      </w:r>
      <w:bookmarkEnd w:id="33"/>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楼宇开发企业。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color w:val="auto"/>
        </w:rPr>
      </w:pPr>
      <w:r>
        <w:rPr>
          <w:rFonts w:hint="eastAsia"/>
          <w:color w:val="auto"/>
        </w:rPr>
        <w:t>（1）申报楼宇应于2</w:t>
      </w:r>
      <w:r>
        <w:rPr>
          <w:color w:val="auto"/>
        </w:rPr>
        <w:t>020</w:t>
      </w:r>
      <w:r>
        <w:rPr>
          <w:rFonts w:hint="eastAsia"/>
          <w:color w:val="auto"/>
        </w:rPr>
        <w:t>年起竣工交付，并通过《政策》“适用范围”规定的“商务楼宇”认定；</w:t>
      </w:r>
    </w:p>
    <w:p>
      <w:pPr>
        <w:spacing w:line="560" w:lineRule="exact"/>
        <w:ind w:firstLine="640" w:firstLineChars="200"/>
        <w:rPr>
          <w:color w:val="auto"/>
        </w:rPr>
      </w:pPr>
      <w:r>
        <w:rPr>
          <w:rFonts w:hint="eastAsia"/>
          <w:color w:val="auto"/>
        </w:rPr>
        <w:t>（</w:t>
      </w:r>
      <w:r>
        <w:rPr>
          <w:color w:val="auto"/>
        </w:rPr>
        <w:t>2</w:t>
      </w:r>
      <w:r>
        <w:rPr>
          <w:rFonts w:hint="eastAsia"/>
          <w:color w:val="auto"/>
        </w:rPr>
        <w:t>）申报楼宇应</w:t>
      </w:r>
      <w:bookmarkStart w:id="34" w:name="_Hlk160023836"/>
      <w:r>
        <w:rPr>
          <w:rFonts w:hint="eastAsia"/>
          <w:color w:val="auto"/>
        </w:rPr>
        <w:t>实质性经营且自持部分入驻率达到70%(不包含自用办公面积)</w:t>
      </w:r>
      <w:bookmarkEnd w:id="34"/>
      <w:r>
        <w:rPr>
          <w:rFonts w:hint="eastAsia"/>
          <w:color w:val="auto"/>
        </w:rPr>
        <w:t>；</w:t>
      </w:r>
    </w:p>
    <w:p>
      <w:pPr>
        <w:spacing w:line="560" w:lineRule="exact"/>
        <w:ind w:firstLine="640" w:firstLineChars="200"/>
        <w:rPr>
          <w:color w:val="auto"/>
        </w:rPr>
      </w:pPr>
      <w:r>
        <w:rPr>
          <w:rFonts w:hint="eastAsia"/>
          <w:color w:val="auto"/>
        </w:rPr>
        <w:t>（</w:t>
      </w:r>
      <w:r>
        <w:rPr>
          <w:color w:val="auto"/>
        </w:rPr>
        <w:t>3</w:t>
      </w:r>
      <w:r>
        <w:rPr>
          <w:rFonts w:hint="eastAsia"/>
          <w:color w:val="auto"/>
        </w:rPr>
        <w:t>）地产类项目在其土地挂牌条件或其他磋商性文件中明确了自持商务楼宇的不在奖励范围，其超过承诺条件的自持商务楼宇部分，经认定予以支持。</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w:t>
      </w:r>
      <w:r>
        <w:rPr>
          <w:color w:val="auto"/>
        </w:rPr>
        <w:t>1</w:t>
      </w:r>
      <w:r>
        <w:rPr>
          <w:rFonts w:hint="eastAsia"/>
          <w:color w:val="auto"/>
        </w:rPr>
        <w:t>）产权自持比例为50%(含)以上、给予开发企业1</w:t>
      </w:r>
      <w:r>
        <w:rPr>
          <w:color w:val="auto"/>
        </w:rPr>
        <w:t>5</w:t>
      </w:r>
      <w:r>
        <w:rPr>
          <w:rFonts w:hint="eastAsia"/>
          <w:color w:val="auto"/>
        </w:rPr>
        <w:t>万元的一次性补助；</w:t>
      </w:r>
    </w:p>
    <w:p>
      <w:pPr>
        <w:spacing w:line="560" w:lineRule="exact"/>
        <w:ind w:firstLine="640" w:firstLineChars="200"/>
        <w:rPr>
          <w:color w:val="auto"/>
        </w:rPr>
      </w:pPr>
      <w:r>
        <w:rPr>
          <w:rFonts w:hint="eastAsia"/>
          <w:color w:val="auto"/>
        </w:rPr>
        <w:t>（</w:t>
      </w:r>
      <w:r>
        <w:rPr>
          <w:color w:val="auto"/>
        </w:rPr>
        <w:t>2</w:t>
      </w:r>
      <w:r>
        <w:rPr>
          <w:rFonts w:hint="eastAsia"/>
          <w:color w:val="auto"/>
        </w:rPr>
        <w:t>）产权自持比例为70%(含)以上、给予开发企业2</w:t>
      </w:r>
      <w:r>
        <w:rPr>
          <w:color w:val="auto"/>
        </w:rPr>
        <w:t>5</w:t>
      </w:r>
      <w:r>
        <w:rPr>
          <w:rFonts w:hint="eastAsia"/>
          <w:color w:val="auto"/>
        </w:rPr>
        <w:t>万元的一次性补助；</w:t>
      </w:r>
    </w:p>
    <w:p>
      <w:pPr>
        <w:spacing w:line="560" w:lineRule="exact"/>
        <w:ind w:firstLine="640" w:firstLineChars="200"/>
        <w:rPr>
          <w:color w:val="auto"/>
        </w:rPr>
      </w:pPr>
      <w:r>
        <w:rPr>
          <w:rFonts w:hint="eastAsia"/>
          <w:color w:val="auto"/>
        </w:rPr>
        <w:t>（</w:t>
      </w:r>
      <w:r>
        <w:rPr>
          <w:color w:val="auto"/>
        </w:rPr>
        <w:t>3</w:t>
      </w:r>
      <w:r>
        <w:rPr>
          <w:rFonts w:hint="eastAsia"/>
          <w:color w:val="auto"/>
        </w:rPr>
        <w:t>）产权自持比例为100%，给予开发企业3</w:t>
      </w:r>
      <w:r>
        <w:rPr>
          <w:color w:val="auto"/>
        </w:rPr>
        <w:t>5</w:t>
      </w:r>
      <w:r>
        <w:rPr>
          <w:rFonts w:hint="eastAsia"/>
          <w:color w:val="auto"/>
        </w:rPr>
        <w:t>万元的一次性补助；</w:t>
      </w:r>
    </w:p>
    <w:p>
      <w:pPr>
        <w:spacing w:line="560" w:lineRule="exact"/>
        <w:ind w:firstLine="640" w:firstLineChars="200"/>
        <w:rPr>
          <w:color w:val="auto"/>
        </w:rPr>
      </w:pPr>
      <w:r>
        <w:rPr>
          <w:rFonts w:hint="eastAsia"/>
          <w:color w:val="auto"/>
        </w:rPr>
        <w:t>（4）达到下一级奖励台阶后，给予差额部分奖励。</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（1）《秀英区楼宇经济发展专项资金申请表》；</w:t>
      </w:r>
    </w:p>
    <w:p>
      <w:pPr>
        <w:spacing w:line="560" w:lineRule="exact"/>
        <w:ind w:firstLine="640" w:firstLineChars="200"/>
        <w:rPr>
          <w:color w:val="auto"/>
        </w:rPr>
      </w:pPr>
      <w:r>
        <w:rPr>
          <w:rFonts w:hint="eastAsia"/>
          <w:color w:val="auto"/>
        </w:rPr>
        <w:t>（</w:t>
      </w:r>
      <w:r>
        <w:rPr>
          <w:color w:val="auto"/>
        </w:rPr>
        <w:t>2</w:t>
      </w:r>
      <w:r>
        <w:rPr>
          <w:rFonts w:hint="eastAsia"/>
          <w:color w:val="auto"/>
        </w:rPr>
        <w:t>）楼宇竣工验收合格报告或其他同类相关证明资质资料；</w:t>
      </w:r>
    </w:p>
    <w:p>
      <w:pPr>
        <w:spacing w:line="560" w:lineRule="exact"/>
        <w:ind w:firstLine="640" w:firstLineChars="200"/>
        <w:rPr>
          <w:color w:val="auto"/>
        </w:rPr>
      </w:pPr>
      <w:r>
        <w:rPr>
          <w:rFonts w:hint="eastAsia"/>
          <w:color w:val="auto"/>
        </w:rPr>
        <w:t>（3）海口市住房</w:t>
      </w:r>
      <w:r>
        <w:rPr>
          <w:rFonts w:hint="eastAsia"/>
          <w:color w:val="auto"/>
          <w:lang w:eastAsia="zh-CN"/>
        </w:rPr>
        <w:t>和</w:t>
      </w:r>
      <w:bookmarkStart w:id="46" w:name="_GoBack"/>
      <w:bookmarkEnd w:id="46"/>
      <w:r>
        <w:rPr>
          <w:rFonts w:hint="eastAsia"/>
          <w:color w:val="auto"/>
        </w:rPr>
        <w:t>城乡建设局出具的未售房屋建筑面积证明；</w:t>
      </w:r>
      <w:r>
        <w:rPr>
          <w:color w:val="auto"/>
        </w:rPr>
        <w:t xml:space="preserve"> </w:t>
      </w:r>
    </w:p>
    <w:p>
      <w:pPr>
        <w:spacing w:line="560" w:lineRule="exact"/>
        <w:ind w:firstLine="640" w:firstLineChars="200"/>
        <w:rPr>
          <w:color w:val="auto"/>
        </w:rPr>
      </w:pPr>
      <w:r>
        <w:rPr>
          <w:rFonts w:hint="eastAsia"/>
          <w:color w:val="auto"/>
        </w:rPr>
        <w:t>（</w:t>
      </w:r>
      <w:r>
        <w:rPr>
          <w:color w:val="auto"/>
        </w:rPr>
        <w:t>4</w:t>
      </w:r>
      <w:r>
        <w:rPr>
          <w:rFonts w:hint="eastAsia"/>
          <w:color w:val="auto"/>
        </w:rPr>
        <w:t>）地产类项目在其土地挂牌条件或其他磋商性文件中明确自持部分的证明材料（如有）；</w:t>
      </w:r>
    </w:p>
    <w:p>
      <w:pPr>
        <w:spacing w:line="560" w:lineRule="exact"/>
        <w:ind w:firstLine="640" w:firstLineChars="200"/>
        <w:rPr>
          <w:color w:val="auto"/>
        </w:rPr>
      </w:pPr>
      <w:r>
        <w:rPr>
          <w:rFonts w:hint="eastAsia"/>
          <w:color w:val="auto"/>
        </w:rPr>
        <w:t>（</w:t>
      </w:r>
      <w:r>
        <w:rPr>
          <w:color w:val="auto"/>
        </w:rPr>
        <w:t>5</w:t>
      </w:r>
      <w:r>
        <w:rPr>
          <w:rFonts w:hint="eastAsia"/>
          <w:color w:val="auto"/>
        </w:rPr>
        <w:t>）楼内租户实质性经营的楼宇入驻率证明（物业公司证明文件）；</w:t>
      </w:r>
      <w:r>
        <w:rPr>
          <w:color w:val="auto"/>
        </w:rPr>
        <w:t xml:space="preserve"> </w:t>
      </w:r>
    </w:p>
    <w:p>
      <w:pPr>
        <w:spacing w:line="560" w:lineRule="exact"/>
        <w:ind w:firstLine="640" w:firstLineChars="200"/>
        <w:rPr>
          <w:color w:val="auto"/>
        </w:rPr>
      </w:pPr>
      <w:r>
        <w:rPr>
          <w:rFonts w:hint="eastAsia"/>
          <w:color w:val="auto"/>
        </w:rPr>
        <w:t>（</w:t>
      </w:r>
      <w:r>
        <w:rPr>
          <w:color w:val="auto"/>
        </w:rPr>
        <w:t>6</w:t>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w:t>
      </w:r>
      <w:r>
        <w:rPr>
          <w:color w:val="auto"/>
        </w:rPr>
        <w:t>7</w:t>
      </w:r>
      <w:r>
        <w:rPr>
          <w:rFonts w:hint="eastAsia"/>
          <w:color w:val="auto"/>
        </w:rPr>
        <w:t>）</w:t>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w:t>
      </w:r>
      <w:r>
        <w:rPr>
          <w:color w:val="auto"/>
        </w:rPr>
        <w:t>8</w:t>
      </w:r>
      <w:r>
        <w:rPr>
          <w:rFonts w:hint="eastAsia"/>
          <w:color w:val="auto"/>
        </w:rPr>
        <w:t>）《秀英区自持物业五年内不分割出售承诺书》；</w:t>
      </w:r>
    </w:p>
    <w:p>
      <w:pPr>
        <w:spacing w:line="560" w:lineRule="exact"/>
        <w:ind w:firstLine="640" w:firstLineChars="200"/>
        <w:rPr>
          <w:color w:val="auto"/>
        </w:rPr>
      </w:pPr>
      <w:r>
        <w:rPr>
          <w:rFonts w:hint="eastAsia"/>
          <w:color w:val="auto"/>
        </w:rPr>
        <w:t>（</w:t>
      </w:r>
      <w:r>
        <w:rPr>
          <w:color w:val="auto"/>
        </w:rPr>
        <w:t>9</w:t>
      </w:r>
      <w:r>
        <w:rPr>
          <w:rFonts w:hint="eastAsia"/>
          <w:color w:val="auto"/>
        </w:rPr>
        <w:t>）其他需要提供的资料。</w:t>
      </w:r>
    </w:p>
    <w:p>
      <w:pPr>
        <w:spacing w:line="560" w:lineRule="exact"/>
        <w:ind w:firstLine="640" w:firstLineChars="200"/>
        <w:rPr>
          <w:rFonts w:cs="Times New Roman"/>
          <w:color w:val="auto"/>
        </w:rPr>
      </w:pPr>
      <w:r>
        <w:rPr>
          <w:rFonts w:cs="Times New Roman"/>
          <w:color w:val="auto"/>
        </w:rPr>
        <w:t>6. 计算示例</w:t>
      </w:r>
      <w:r>
        <w:rPr>
          <w:rFonts w:hint="eastAsia" w:cs="Times New Roman"/>
          <w:color w:val="auto"/>
        </w:rPr>
        <w:t>1</w:t>
      </w:r>
      <w:r>
        <w:rPr>
          <w:rFonts w:cs="Times New Roman"/>
          <w:color w:val="auto"/>
        </w:rPr>
        <w:t>：假设某楼宇建筑面积</w:t>
      </w:r>
      <w:r>
        <w:rPr>
          <w:rFonts w:hint="eastAsia" w:cs="Times New Roman"/>
          <w:color w:val="auto"/>
        </w:rPr>
        <w:t>为</w:t>
      </w:r>
      <w:r>
        <w:rPr>
          <w:rFonts w:cs="Times New Roman"/>
          <w:color w:val="auto"/>
        </w:rPr>
        <w:t>3万方</w:t>
      </w:r>
      <w:r>
        <w:rPr>
          <w:rFonts w:hint="eastAsia" w:cs="Times New Roman"/>
          <w:color w:val="auto"/>
        </w:rPr>
        <w:t>（不含楼宇配套设施用房建筑面积），</w:t>
      </w:r>
      <w:r>
        <w:rPr>
          <w:rFonts w:cs="Times New Roman"/>
          <w:color w:val="auto"/>
        </w:rPr>
        <w:t>楼宇前期在其土地挂牌条件或其他磋商性文件</w:t>
      </w:r>
      <w:r>
        <w:rPr>
          <w:rFonts w:hint="eastAsia" w:cs="Times New Roman"/>
          <w:color w:val="auto"/>
        </w:rPr>
        <w:t>未有明确的自持比例，则：</w:t>
      </w:r>
    </w:p>
    <w:p>
      <w:pPr>
        <w:spacing w:line="560" w:lineRule="exact"/>
        <w:ind w:firstLine="640" w:firstLineChars="200"/>
        <w:rPr>
          <w:rFonts w:cs="Times New Roman" w:eastAsiaTheme="minorEastAsia"/>
          <w:color w:val="auto"/>
        </w:rPr>
      </w:pPr>
      <w:r>
        <w:rPr>
          <w:rFonts w:hint="eastAsia" w:ascii="宋体" w:hAnsi="宋体" w:eastAsia="宋体" w:cs="宋体"/>
          <w:color w:val="auto"/>
        </w:rPr>
        <w:t>①</w:t>
      </w:r>
      <w:r>
        <w:rPr>
          <w:rFonts w:cs="Times New Roman"/>
          <w:color w:val="auto"/>
        </w:rPr>
        <w:t>申请</w:t>
      </w:r>
      <w:r>
        <w:rPr>
          <w:rFonts w:hint="eastAsia" w:cs="Times New Roman"/>
          <w:color w:val="auto"/>
        </w:rPr>
        <w:t>自持</w:t>
      </w:r>
      <w:r>
        <w:rPr>
          <w:rFonts w:cs="Times New Roman"/>
          <w:color w:val="auto"/>
        </w:rPr>
        <w:t>50%</w:t>
      </w:r>
      <w:r>
        <w:rPr>
          <w:rFonts w:hint="eastAsia" w:cs="Times New Roman"/>
          <w:color w:val="auto"/>
        </w:rPr>
        <w:t>奖励，自持面积为3</w:t>
      </w:r>
      <w:r>
        <w:rPr>
          <w:rFonts w:cs="Times New Roman"/>
          <w:color w:val="auto"/>
        </w:rPr>
        <w:t>*50%=1.5万</w:t>
      </w:r>
      <w:r>
        <w:rPr>
          <w:rFonts w:hint="eastAsia" w:ascii="Segoe UI Symbol" w:hAnsi="Segoe UI Symbol" w:eastAsia="Segoe UI Symbol" w:cs="Segoe UI Symbol"/>
          <w:color w:val="auto"/>
        </w:rPr>
        <w:t>㎡</w:t>
      </w:r>
    </w:p>
    <w:p>
      <w:pPr>
        <w:spacing w:line="560" w:lineRule="exact"/>
        <w:ind w:firstLine="640" w:firstLineChars="200"/>
        <w:rPr>
          <w:rFonts w:cs="Times New Roman"/>
          <w:color w:val="auto"/>
        </w:rPr>
      </w:pPr>
      <w:r>
        <w:rPr>
          <w:rFonts w:hint="eastAsia" w:ascii="宋体" w:hAnsi="宋体" w:eastAsia="宋体" w:cs="宋体"/>
          <w:color w:val="auto"/>
        </w:rPr>
        <w:t>②</w:t>
      </w:r>
      <w:r>
        <w:rPr>
          <w:rFonts w:cs="Times New Roman"/>
          <w:color w:val="auto"/>
        </w:rPr>
        <w:t>申请</w:t>
      </w:r>
      <w:r>
        <w:rPr>
          <w:rFonts w:hint="eastAsia" w:cs="Times New Roman"/>
          <w:color w:val="auto"/>
        </w:rPr>
        <w:t>自持</w:t>
      </w:r>
      <w:r>
        <w:rPr>
          <w:rFonts w:cs="Times New Roman"/>
          <w:color w:val="auto"/>
        </w:rPr>
        <w:t>70%</w:t>
      </w:r>
      <w:r>
        <w:rPr>
          <w:rFonts w:hint="eastAsia" w:cs="Times New Roman"/>
          <w:color w:val="auto"/>
        </w:rPr>
        <w:t>奖励，自持面积为3</w:t>
      </w:r>
      <w:r>
        <w:rPr>
          <w:rFonts w:cs="Times New Roman"/>
          <w:color w:val="auto"/>
        </w:rPr>
        <w:t>*70%=2.1万</w:t>
      </w:r>
      <w:r>
        <w:rPr>
          <w:rFonts w:hint="eastAsia" w:ascii="Segoe UI Symbol" w:hAnsi="Segoe UI Symbol" w:eastAsia="Segoe UI Symbol" w:cs="Segoe UI Symbol"/>
          <w:color w:val="auto"/>
        </w:rPr>
        <w:t>㎡</w:t>
      </w:r>
    </w:p>
    <w:p>
      <w:pPr>
        <w:spacing w:line="560" w:lineRule="exact"/>
        <w:ind w:firstLine="640" w:firstLineChars="200"/>
        <w:rPr>
          <w:rFonts w:ascii="Segoe UI Symbol" w:hAnsi="Segoe UI Symbol" w:cs="Segoe UI Symbol" w:eastAsiaTheme="minorEastAsia"/>
          <w:color w:val="auto"/>
        </w:rPr>
      </w:pPr>
      <w:r>
        <w:rPr>
          <w:rFonts w:hint="eastAsia" w:ascii="宋体" w:hAnsi="宋体" w:eastAsia="宋体" w:cs="宋体"/>
          <w:color w:val="auto"/>
        </w:rPr>
        <w:t>③</w:t>
      </w:r>
      <w:r>
        <w:rPr>
          <w:rFonts w:cs="Times New Roman"/>
          <w:color w:val="auto"/>
        </w:rPr>
        <w:t>申请</w:t>
      </w:r>
      <w:r>
        <w:rPr>
          <w:rFonts w:hint="eastAsia" w:cs="Times New Roman"/>
          <w:color w:val="auto"/>
        </w:rPr>
        <w:t>自持</w:t>
      </w:r>
      <w:r>
        <w:rPr>
          <w:rFonts w:cs="Times New Roman"/>
          <w:color w:val="auto"/>
        </w:rPr>
        <w:t>100%</w:t>
      </w:r>
      <w:r>
        <w:rPr>
          <w:rFonts w:hint="eastAsia" w:cs="Times New Roman"/>
          <w:color w:val="auto"/>
        </w:rPr>
        <w:t>奖励，自持面积为3</w:t>
      </w:r>
      <w:r>
        <w:rPr>
          <w:rFonts w:cs="Times New Roman"/>
          <w:color w:val="auto"/>
        </w:rPr>
        <w:t>*100%=3万</w:t>
      </w:r>
      <w:r>
        <w:rPr>
          <w:rFonts w:hint="eastAsia" w:ascii="Segoe UI Symbol" w:hAnsi="Segoe UI Symbol" w:eastAsia="Segoe UI Symbol" w:cs="Segoe UI Symbol"/>
          <w:color w:val="auto"/>
        </w:rPr>
        <w:t>㎡</w:t>
      </w:r>
    </w:p>
    <w:p>
      <w:pPr>
        <w:spacing w:line="560" w:lineRule="exact"/>
        <w:ind w:firstLine="640" w:firstLineChars="200"/>
        <w:rPr>
          <w:rFonts w:cs="Times New Roman"/>
          <w:color w:val="auto"/>
        </w:rPr>
      </w:pPr>
      <w:r>
        <w:rPr>
          <w:rFonts w:cs="Times New Roman"/>
          <w:color w:val="auto"/>
        </w:rPr>
        <w:t>7. 计算示例2：假设某楼宇建筑面积</w:t>
      </w:r>
      <w:r>
        <w:rPr>
          <w:rFonts w:hint="eastAsia" w:cs="Times New Roman"/>
          <w:color w:val="auto"/>
        </w:rPr>
        <w:t>为</w:t>
      </w:r>
      <w:r>
        <w:rPr>
          <w:rFonts w:cs="Times New Roman"/>
          <w:color w:val="auto"/>
        </w:rPr>
        <w:t>3万方</w:t>
      </w:r>
      <w:r>
        <w:rPr>
          <w:rFonts w:hint="eastAsia" w:cs="Times New Roman"/>
          <w:color w:val="auto"/>
        </w:rPr>
        <w:t>（不含楼宇配套设施用房建筑面积）</w:t>
      </w:r>
      <w:r>
        <w:rPr>
          <w:rFonts w:cs="Times New Roman"/>
          <w:color w:val="auto"/>
        </w:rPr>
        <w:t>，该楼宇前期在其土地挂牌条件或其他磋商性文件中明确</w:t>
      </w:r>
      <w:r>
        <w:rPr>
          <w:rFonts w:hint="eastAsia" w:cs="Times New Roman"/>
          <w:color w:val="auto"/>
        </w:rPr>
        <w:t>的</w:t>
      </w:r>
      <w:r>
        <w:rPr>
          <w:rFonts w:cs="Times New Roman"/>
          <w:color w:val="auto"/>
        </w:rPr>
        <w:t>自持比例为20%</w:t>
      </w:r>
      <w:r>
        <w:rPr>
          <w:rFonts w:hint="eastAsia" w:cs="Times New Roman"/>
          <w:color w:val="auto"/>
        </w:rPr>
        <w:t>，</w:t>
      </w:r>
      <w:r>
        <w:rPr>
          <w:rFonts w:cs="Times New Roman"/>
          <w:color w:val="auto"/>
        </w:rPr>
        <w:t>在计算自持面积时候，需剔除该面积3*20%=0.6万</w:t>
      </w:r>
      <w:r>
        <w:rPr>
          <w:rFonts w:hint="eastAsia" w:ascii="Segoe UI Symbol" w:hAnsi="Segoe UI Symbol" w:eastAsia="Segoe UI Symbol" w:cs="Segoe UI Symbol"/>
          <w:color w:val="auto"/>
        </w:rPr>
        <w:t>㎡</w:t>
      </w:r>
      <w:r>
        <w:rPr>
          <w:rFonts w:hint="eastAsia" w:cs="Times New Roman"/>
          <w:color w:val="auto"/>
        </w:rPr>
        <w:t>，则</w:t>
      </w:r>
    </w:p>
    <w:p>
      <w:pPr>
        <w:spacing w:line="560" w:lineRule="exact"/>
        <w:ind w:firstLine="640" w:firstLineChars="200"/>
        <w:rPr>
          <w:rFonts w:cs="Times New Roman" w:eastAsiaTheme="minorEastAsia"/>
          <w:color w:val="auto"/>
        </w:rPr>
      </w:pPr>
      <w:r>
        <w:rPr>
          <w:rFonts w:hint="eastAsia" w:ascii="宋体" w:hAnsi="宋体" w:eastAsia="宋体" w:cs="宋体"/>
          <w:color w:val="auto"/>
        </w:rPr>
        <w:t>①</w:t>
      </w:r>
      <w:r>
        <w:rPr>
          <w:rFonts w:cs="Times New Roman"/>
          <w:color w:val="auto"/>
        </w:rPr>
        <w:t>申请</w:t>
      </w:r>
      <w:r>
        <w:rPr>
          <w:rFonts w:hint="eastAsia" w:cs="Times New Roman"/>
          <w:color w:val="auto"/>
        </w:rPr>
        <w:t>自持</w:t>
      </w:r>
      <w:r>
        <w:rPr>
          <w:rFonts w:cs="Times New Roman"/>
          <w:color w:val="auto"/>
        </w:rPr>
        <w:t>50%</w:t>
      </w:r>
      <w:r>
        <w:rPr>
          <w:rFonts w:hint="eastAsia" w:cs="Times New Roman"/>
          <w:color w:val="auto"/>
        </w:rPr>
        <w:t>奖励，自持面积为</w:t>
      </w:r>
      <w:r>
        <w:rPr>
          <w:rFonts w:cs="Times New Roman"/>
          <w:color w:val="auto"/>
        </w:rPr>
        <w:t>（3-0.6）*50%=1.2万</w:t>
      </w:r>
      <w:r>
        <w:rPr>
          <w:rFonts w:hint="eastAsia" w:ascii="Segoe UI Symbol" w:hAnsi="Segoe UI Symbol" w:eastAsia="Segoe UI Symbol" w:cs="Segoe UI Symbol"/>
          <w:color w:val="auto"/>
        </w:rPr>
        <w:t>㎡</w:t>
      </w:r>
    </w:p>
    <w:p>
      <w:pPr>
        <w:spacing w:line="560" w:lineRule="exact"/>
        <w:ind w:firstLine="640" w:firstLineChars="200"/>
        <w:rPr>
          <w:rFonts w:cs="Times New Roman"/>
          <w:color w:val="auto"/>
        </w:rPr>
      </w:pPr>
      <w:r>
        <w:rPr>
          <w:rFonts w:hint="eastAsia" w:ascii="宋体" w:hAnsi="宋体" w:eastAsia="宋体" w:cs="宋体"/>
          <w:color w:val="auto"/>
        </w:rPr>
        <w:t>②</w:t>
      </w:r>
      <w:r>
        <w:rPr>
          <w:rFonts w:cs="Times New Roman"/>
          <w:color w:val="auto"/>
        </w:rPr>
        <w:t>申请</w:t>
      </w:r>
      <w:r>
        <w:rPr>
          <w:rFonts w:hint="eastAsia" w:cs="Times New Roman"/>
          <w:color w:val="auto"/>
        </w:rPr>
        <w:t>自持</w:t>
      </w:r>
      <w:r>
        <w:rPr>
          <w:rFonts w:cs="Times New Roman"/>
          <w:color w:val="auto"/>
        </w:rPr>
        <w:t>70%</w:t>
      </w:r>
      <w:r>
        <w:rPr>
          <w:rFonts w:hint="eastAsia" w:cs="Times New Roman"/>
          <w:color w:val="auto"/>
        </w:rPr>
        <w:t>奖励，自持面积为</w:t>
      </w:r>
      <w:r>
        <w:rPr>
          <w:rFonts w:cs="Times New Roman"/>
          <w:color w:val="auto"/>
        </w:rPr>
        <w:t>（3-0.6）*70%=1.68万</w:t>
      </w:r>
      <w:r>
        <w:rPr>
          <w:rFonts w:hint="eastAsia" w:ascii="Segoe UI Symbol" w:hAnsi="Segoe UI Symbol" w:eastAsia="Segoe UI Symbol" w:cs="Segoe UI Symbol"/>
          <w:color w:val="auto"/>
        </w:rPr>
        <w:t>㎡</w:t>
      </w:r>
    </w:p>
    <w:p>
      <w:pPr>
        <w:spacing w:line="560" w:lineRule="exact"/>
        <w:ind w:firstLine="640" w:firstLineChars="200"/>
        <w:rPr>
          <w:rFonts w:cs="Times New Roman"/>
          <w:color w:val="auto"/>
        </w:rPr>
      </w:pPr>
      <w:r>
        <w:rPr>
          <w:rFonts w:hint="eastAsia" w:ascii="宋体" w:hAnsi="宋体" w:eastAsia="宋体" w:cs="宋体"/>
          <w:color w:val="auto"/>
        </w:rPr>
        <w:t>③</w:t>
      </w:r>
      <w:r>
        <w:rPr>
          <w:rFonts w:cs="Times New Roman"/>
          <w:color w:val="auto"/>
        </w:rPr>
        <w:t>申请</w:t>
      </w:r>
      <w:r>
        <w:rPr>
          <w:rFonts w:hint="eastAsia" w:cs="Times New Roman"/>
          <w:color w:val="auto"/>
        </w:rPr>
        <w:t>自持</w:t>
      </w:r>
      <w:r>
        <w:rPr>
          <w:rFonts w:cs="Times New Roman"/>
          <w:color w:val="auto"/>
        </w:rPr>
        <w:t>100%</w:t>
      </w:r>
      <w:r>
        <w:rPr>
          <w:rFonts w:hint="eastAsia" w:cs="Times New Roman"/>
          <w:color w:val="auto"/>
        </w:rPr>
        <w:t>奖励，自持面积为</w:t>
      </w:r>
      <w:r>
        <w:rPr>
          <w:rFonts w:cs="Times New Roman"/>
          <w:color w:val="auto"/>
        </w:rPr>
        <w:t>（3-0.6）*100%=2.4万</w:t>
      </w:r>
      <w:r>
        <w:rPr>
          <w:rFonts w:hint="eastAsia" w:ascii="Segoe UI Symbol" w:hAnsi="Segoe UI Symbol" w:eastAsia="Segoe UI Symbol" w:cs="Segoe UI Symbol"/>
          <w:color w:val="auto"/>
        </w:rPr>
        <w:t>㎡</w:t>
      </w:r>
    </w:p>
    <w:p>
      <w:pPr>
        <w:pStyle w:val="30"/>
        <w:spacing w:line="560" w:lineRule="exact"/>
        <w:outlineLvl w:val="1"/>
        <w:rPr>
          <w:rFonts w:ascii="Times New Roman" w:hAnsi="Times New Roman"/>
          <w:b w:val="0"/>
          <w:bCs w:val="0"/>
        </w:rPr>
      </w:pPr>
      <w:bookmarkStart w:id="35" w:name="_Toc163392942"/>
      <w:r>
        <w:rPr>
          <w:rFonts w:hint="eastAsia" w:ascii="Times New Roman" w:hAnsi="Times New Roman"/>
          <w:b w:val="0"/>
          <w:bCs w:val="0"/>
        </w:rPr>
        <w:t>（十）支持整合商务楼宇统一运营</w:t>
      </w:r>
      <w:bookmarkEnd w:id="35"/>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即时备案，2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color w:val="auto"/>
        </w:rPr>
      </w:pPr>
      <w:r>
        <w:rPr>
          <w:rFonts w:hint="eastAsia"/>
          <w:color w:val="auto"/>
        </w:rPr>
        <w:t>（1）申报主体整合的楼宇应通过《政策》“适用范围”规定的“商务楼宇”认定；</w:t>
      </w:r>
    </w:p>
    <w:p>
      <w:pPr>
        <w:spacing w:line="560" w:lineRule="exact"/>
        <w:ind w:firstLine="640" w:firstLineChars="200"/>
        <w:rPr>
          <w:color w:val="auto"/>
        </w:rPr>
      </w:pPr>
      <w:r>
        <w:rPr>
          <w:rFonts w:hint="eastAsia"/>
          <w:color w:val="auto"/>
        </w:rPr>
        <w:t>（</w:t>
      </w:r>
      <w:r>
        <w:rPr>
          <w:color w:val="auto"/>
        </w:rPr>
        <w:t>2</w:t>
      </w:r>
      <w:r>
        <w:rPr>
          <w:rFonts w:hint="eastAsia"/>
          <w:color w:val="auto"/>
        </w:rPr>
        <w:t>）对零散产权、分散租赁、闲置未投入运营的商务楼宇通过整租或收购等方式进行整合并统一运营；</w:t>
      </w:r>
    </w:p>
    <w:p>
      <w:pPr>
        <w:spacing w:line="560" w:lineRule="exact"/>
        <w:ind w:firstLine="640" w:firstLineChars="200"/>
        <w:rPr>
          <w:color w:val="auto"/>
        </w:rPr>
      </w:pPr>
      <w:r>
        <w:rPr>
          <w:rFonts w:hint="eastAsia"/>
          <w:color w:val="auto"/>
        </w:rPr>
        <w:t>（3）整合运营面积分别达到5000平方米、10000平方米、15000平方米；</w:t>
      </w:r>
    </w:p>
    <w:p>
      <w:pPr>
        <w:spacing w:line="560" w:lineRule="exact"/>
        <w:ind w:firstLine="640" w:firstLineChars="200"/>
        <w:rPr>
          <w:color w:val="auto"/>
        </w:rPr>
      </w:pPr>
      <w:r>
        <w:rPr>
          <w:rFonts w:hint="eastAsia"/>
          <w:color w:val="auto"/>
        </w:rPr>
        <w:t>（4）整合运营楼宇应投入实质性经营满一年且入驻率达到70%(含</w:t>
      </w:r>
      <w:r>
        <w:rPr>
          <w:color w:val="auto"/>
        </w:rPr>
        <w:t>)</w:t>
      </w:r>
      <w:r>
        <w:rPr>
          <w:rFonts w:hint="eastAsia"/>
          <w:color w:val="auto"/>
        </w:rPr>
        <w:t>。</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w:t>
      </w:r>
      <w:r>
        <w:rPr>
          <w:color w:val="auto"/>
        </w:rPr>
        <w:t>1</w:t>
      </w:r>
      <w:r>
        <w:rPr>
          <w:rFonts w:hint="eastAsia"/>
          <w:color w:val="auto"/>
        </w:rPr>
        <w:t>）整合运营面积5000平方米，给予</w:t>
      </w:r>
      <w:r>
        <w:rPr>
          <w:color w:val="auto"/>
        </w:rPr>
        <w:t>10</w:t>
      </w:r>
      <w:r>
        <w:rPr>
          <w:rFonts w:hint="eastAsia"/>
          <w:color w:val="auto"/>
        </w:rPr>
        <w:t>万元的补贴；</w:t>
      </w:r>
    </w:p>
    <w:p>
      <w:pPr>
        <w:spacing w:line="560" w:lineRule="exact"/>
        <w:ind w:firstLine="640" w:firstLineChars="200"/>
        <w:rPr>
          <w:color w:val="auto"/>
        </w:rPr>
      </w:pPr>
      <w:r>
        <w:rPr>
          <w:rFonts w:hint="eastAsia"/>
          <w:color w:val="auto"/>
        </w:rPr>
        <w:t>（2）整合运营面积10000平方米，给予</w:t>
      </w:r>
      <w:r>
        <w:rPr>
          <w:color w:val="auto"/>
        </w:rPr>
        <w:t>2</w:t>
      </w:r>
      <w:r>
        <w:rPr>
          <w:rFonts w:hint="eastAsia"/>
          <w:color w:val="auto"/>
        </w:rPr>
        <w:t>0万元的补贴；</w:t>
      </w:r>
    </w:p>
    <w:p>
      <w:pPr>
        <w:spacing w:line="560" w:lineRule="exact"/>
        <w:ind w:firstLine="640" w:firstLineChars="200"/>
        <w:rPr>
          <w:color w:val="auto"/>
        </w:rPr>
      </w:pPr>
      <w:r>
        <w:rPr>
          <w:rFonts w:hint="eastAsia"/>
          <w:color w:val="auto"/>
        </w:rPr>
        <w:t>（3）整合运营面积15000平方米的，给予</w:t>
      </w:r>
      <w:r>
        <w:rPr>
          <w:color w:val="auto"/>
        </w:rPr>
        <w:t>30</w:t>
      </w:r>
      <w:r>
        <w:rPr>
          <w:rFonts w:hint="eastAsia"/>
          <w:color w:val="auto"/>
        </w:rPr>
        <w:t>万元的补贴；</w:t>
      </w:r>
    </w:p>
    <w:p>
      <w:pPr>
        <w:spacing w:line="560" w:lineRule="exact"/>
        <w:ind w:firstLine="640" w:firstLineChars="200"/>
        <w:rPr>
          <w:color w:val="auto"/>
        </w:rPr>
      </w:pPr>
      <w:r>
        <w:rPr>
          <w:rFonts w:hint="eastAsia"/>
          <w:color w:val="auto"/>
        </w:rPr>
        <w:t>（4）达到下一级奖励台阶后，给予差额部分奖励。</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（1）预先登记备案，需提交资料：</w:t>
      </w:r>
    </w:p>
    <w:p>
      <w:pPr>
        <w:spacing w:line="560" w:lineRule="exact"/>
        <w:ind w:firstLine="640" w:firstLineChars="200"/>
        <w:rPr>
          <w:color w:val="auto"/>
        </w:rPr>
      </w:pPr>
      <w:r>
        <w:rPr>
          <w:rFonts w:hint="eastAsia"/>
          <w:color w:val="auto"/>
        </w:rPr>
        <w:t>①《秀英区楼宇经济年度备案登记表》；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申报主体以整租或收购等方式对楼宇进行整合运营的相关合同等证明性资料；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整合运营前的楼宇照片；</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整合运营楼宇情况资料（整合运营前楼宇情况、整合面积及其功能构成、改造设想、及今后招商目标定位等）；</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《秀英区整合商务楼宇统一运营承诺书》；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6 \* GB3</w:instrText>
      </w:r>
      <w:r>
        <w:rPr>
          <w:color w:val="auto"/>
        </w:rPr>
        <w:instrText xml:space="preserve"> </w:instrText>
      </w:r>
      <w:r>
        <w:rPr>
          <w:color w:val="auto"/>
        </w:rPr>
        <w:fldChar w:fldCharType="separate"/>
      </w:r>
      <w:r>
        <w:rPr>
          <w:rFonts w:hint="eastAsia"/>
          <w:color w:val="auto"/>
        </w:rPr>
        <w:t>⑥</w:t>
      </w:r>
      <w:r>
        <w:rPr>
          <w:color w:val="auto"/>
        </w:rPr>
        <w:fldChar w:fldCharType="end"/>
      </w:r>
      <w:r>
        <w:rPr>
          <w:rFonts w:hint="eastAsia"/>
          <w:color w:val="auto"/>
        </w:rPr>
        <w:t>其他需要提供的资料。</w:t>
      </w:r>
    </w:p>
    <w:p>
      <w:pPr>
        <w:spacing w:line="560" w:lineRule="exact"/>
        <w:ind w:firstLine="640" w:firstLineChars="200"/>
        <w:rPr>
          <w:color w:val="auto"/>
        </w:rPr>
      </w:pPr>
      <w:r>
        <w:rPr>
          <w:rFonts w:hint="eastAsia"/>
          <w:color w:val="auto"/>
        </w:rPr>
        <w:t>（</w:t>
      </w:r>
      <w:r>
        <w:rPr>
          <w:color w:val="auto"/>
        </w:rPr>
        <w:t>2</w:t>
      </w:r>
      <w:r>
        <w:rPr>
          <w:rFonts w:hint="eastAsia"/>
          <w:color w:val="auto"/>
        </w:rPr>
        <w:t>）整合运营后申请补贴，需提交资料：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整合运营后的楼宇照片；</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楼内租户实质性经营的楼宇入驻率证明；</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楼内入驻企业营收情况；</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⑥其他需要提供的资料。</w:t>
      </w:r>
    </w:p>
    <w:p>
      <w:pPr>
        <w:pStyle w:val="30"/>
        <w:spacing w:line="560" w:lineRule="exact"/>
        <w:outlineLvl w:val="1"/>
        <w:rPr>
          <w:rFonts w:ascii="Times New Roman" w:hAnsi="Times New Roman"/>
          <w:b w:val="0"/>
          <w:bCs w:val="0"/>
        </w:rPr>
      </w:pPr>
      <w:bookmarkStart w:id="36" w:name="_Hlk155805999"/>
      <w:bookmarkStart w:id="37" w:name="_Toc163392943"/>
      <w:r>
        <w:rPr>
          <w:rFonts w:hint="eastAsia" w:ascii="Times New Roman" w:hAnsi="Times New Roman"/>
          <w:b w:val="0"/>
          <w:bCs w:val="0"/>
        </w:rPr>
        <w:t>（十一）支持楼宇设立企业</w:t>
      </w:r>
      <w:bookmarkEnd w:id="36"/>
      <w:r>
        <w:rPr>
          <w:rFonts w:hint="eastAsia" w:ascii="Times New Roman" w:hAnsi="Times New Roman"/>
          <w:b w:val="0"/>
          <w:bCs w:val="0"/>
        </w:rPr>
        <w:t>服务中心</w:t>
      </w:r>
      <w:bookmarkEnd w:id="37"/>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（1）申报楼宇应通过《政策》“适用范围”规定的“商务楼宇”认定；</w:t>
      </w:r>
    </w:p>
    <w:p>
      <w:pPr>
        <w:spacing w:line="560" w:lineRule="exact"/>
        <w:ind w:firstLine="640" w:firstLineChars="200"/>
        <w:rPr>
          <w:rFonts w:ascii="仿宋_GB2312" w:hAnsi="仿宋_GB2312"/>
          <w:color w:val="auto"/>
        </w:rPr>
      </w:pPr>
      <w:r>
        <w:rPr>
          <w:rFonts w:hint="eastAsia"/>
          <w:color w:val="auto"/>
        </w:rPr>
        <w:t>（2）新设的企业服务中心运营面积达</w:t>
      </w:r>
      <w:r>
        <w:rPr>
          <w:color w:val="auto"/>
        </w:rPr>
        <w:t>100</w:t>
      </w:r>
      <w:r>
        <w:rPr>
          <w:rFonts w:hint="eastAsia"/>
          <w:color w:val="auto"/>
        </w:rPr>
        <w:t>平方米（含）以上；</w:t>
      </w:r>
    </w:p>
    <w:p>
      <w:pPr>
        <w:spacing w:line="560" w:lineRule="exact"/>
        <w:ind w:firstLine="640" w:firstLineChars="200"/>
        <w:rPr>
          <w:color w:val="auto"/>
        </w:rPr>
      </w:pPr>
      <w:r>
        <w:rPr>
          <w:rFonts w:hint="eastAsia"/>
          <w:color w:val="auto"/>
        </w:rPr>
        <w:t>（</w:t>
      </w:r>
      <w:r>
        <w:rPr>
          <w:color w:val="auto"/>
        </w:rPr>
        <w:t>3</w:t>
      </w:r>
      <w:r>
        <w:rPr>
          <w:rFonts w:hint="eastAsia"/>
          <w:color w:val="auto"/>
        </w:rPr>
        <w:t>）配备专职人员提供政务、工商、财税、投融资等相关企业服务且不少于3项（含）。</w:t>
      </w:r>
    </w:p>
    <w:p>
      <w:pPr>
        <w:spacing w:line="560" w:lineRule="exact"/>
        <w:ind w:firstLine="640" w:firstLineChars="200"/>
        <w:rPr>
          <w:color w:val="auto"/>
        </w:rPr>
      </w:pPr>
      <w:r>
        <w:rPr>
          <w:rFonts w:hint="eastAsia"/>
          <w:color w:val="auto"/>
        </w:rPr>
        <w:t>4</w:t>
      </w:r>
      <w:r>
        <w:rPr>
          <w:color w:val="auto"/>
        </w:rPr>
        <w:t xml:space="preserve">. </w:t>
      </w:r>
      <w:r>
        <w:rPr>
          <w:rFonts w:hint="eastAsia"/>
          <w:color w:val="auto"/>
        </w:rPr>
        <w:t>奖励标准</w:t>
      </w:r>
    </w:p>
    <w:p>
      <w:pPr>
        <w:spacing w:line="560" w:lineRule="exact"/>
        <w:ind w:firstLine="640" w:firstLineChars="200"/>
        <w:rPr>
          <w:color w:val="auto"/>
        </w:rPr>
      </w:pPr>
      <w:r>
        <w:rPr>
          <w:rFonts w:hint="eastAsia"/>
          <w:color w:val="auto"/>
        </w:rPr>
        <w:t>每年给予楼宇运营企业</w:t>
      </w:r>
      <w:r>
        <w:rPr>
          <w:color w:val="auto"/>
        </w:rPr>
        <w:t>5</w:t>
      </w:r>
      <w:r>
        <w:rPr>
          <w:rFonts w:hint="eastAsia"/>
          <w:color w:val="auto"/>
        </w:rPr>
        <w:t>万元补贴，连续补贴最高不超过</w:t>
      </w:r>
      <w:r>
        <w:rPr>
          <w:color w:val="auto"/>
        </w:rPr>
        <w:t>2</w:t>
      </w:r>
      <w:r>
        <w:rPr>
          <w:rFonts w:hint="eastAsia"/>
          <w:color w:val="auto"/>
        </w:rPr>
        <w:t>年。</w:t>
      </w:r>
    </w:p>
    <w:p>
      <w:pPr>
        <w:spacing w:line="560" w:lineRule="exact"/>
        <w:ind w:left="640" w:leftChars="200"/>
        <w:rPr>
          <w:color w:val="auto"/>
        </w:rPr>
      </w:pPr>
      <w:r>
        <w:rPr>
          <w:rFonts w:hint="eastAsia"/>
          <w:color w:val="auto"/>
        </w:rPr>
        <w:t>5</w:t>
      </w:r>
      <w:r>
        <w:rPr>
          <w:color w:val="auto"/>
        </w:rPr>
        <w:t xml:space="preserve">. </w:t>
      </w:r>
      <w:r>
        <w:rPr>
          <w:rFonts w:hint="eastAsia"/>
          <w:color w:val="auto"/>
        </w:rPr>
        <w:t>申请资料</w:t>
      </w:r>
      <w:r>
        <w:rPr>
          <w:color w:val="auto"/>
        </w:rPr>
        <w:br w:type="textWrapping"/>
      </w:r>
      <w:r>
        <w:rPr>
          <w:rFonts w:hint="eastAsia"/>
          <w:color w:val="auto"/>
        </w:rPr>
        <w:t>（1）《秀英区楼宇经济发展专项资金申请表》；</w:t>
      </w:r>
    </w:p>
    <w:p>
      <w:pPr>
        <w:spacing w:line="560" w:lineRule="exact"/>
        <w:ind w:left="640" w:leftChars="200"/>
        <w:rPr>
          <w:color w:val="auto"/>
        </w:rPr>
      </w:pPr>
      <w:r>
        <w:rPr>
          <w:rFonts w:hint="eastAsia"/>
          <w:color w:val="auto"/>
        </w:rPr>
        <w:t>（</w:t>
      </w:r>
      <w:r>
        <w:rPr>
          <w:color w:val="auto"/>
        </w:rPr>
        <w:t>2</w:t>
      </w:r>
      <w:r>
        <w:rPr>
          <w:rFonts w:hint="eastAsia"/>
          <w:color w:val="auto"/>
        </w:rPr>
        <w:t>）企业运营中心场所照片；</w:t>
      </w:r>
      <w:r>
        <w:rPr>
          <w:color w:val="auto"/>
        </w:rPr>
        <w:t xml:space="preserve"> </w:t>
      </w:r>
    </w:p>
    <w:p>
      <w:pPr>
        <w:spacing w:line="560" w:lineRule="exact"/>
        <w:ind w:left="640" w:leftChars="200"/>
        <w:rPr>
          <w:color w:val="auto"/>
        </w:rPr>
      </w:pPr>
      <w:r>
        <w:rPr>
          <w:rFonts w:hint="eastAsia"/>
          <w:color w:val="auto"/>
        </w:rPr>
        <w:t>（</w:t>
      </w:r>
      <w:r>
        <w:rPr>
          <w:color w:val="auto"/>
        </w:rPr>
        <w:t>3</w:t>
      </w:r>
      <w:r>
        <w:rPr>
          <w:rFonts w:hint="eastAsia"/>
          <w:color w:val="auto"/>
        </w:rPr>
        <w:t>）企业运营中心专职人员劳动合同复印件；</w:t>
      </w:r>
    </w:p>
    <w:p>
      <w:pPr>
        <w:spacing w:line="560" w:lineRule="exact"/>
        <w:ind w:firstLine="640" w:firstLineChars="200"/>
        <w:rPr>
          <w:color w:val="auto"/>
        </w:rPr>
      </w:pPr>
      <w:r>
        <w:rPr>
          <w:rFonts w:hint="eastAsia"/>
          <w:color w:val="auto"/>
        </w:rPr>
        <w:t>（4） 企业运营中心统一社会信用代码营业执照复印件，如为外包合作的形式，提供合作协议以及该企业的营业执照复印件。</w:t>
      </w:r>
    </w:p>
    <w:p>
      <w:pPr>
        <w:spacing w:line="560" w:lineRule="exact"/>
        <w:ind w:firstLine="640" w:firstLineChars="200"/>
        <w:rPr>
          <w:color w:val="auto"/>
        </w:rPr>
      </w:pPr>
      <w:r>
        <w:rPr>
          <w:rFonts w:hint="eastAsia"/>
          <w:color w:val="auto"/>
        </w:rPr>
        <w:t>（</w:t>
      </w:r>
      <w:r>
        <w:rPr>
          <w:color w:val="auto"/>
        </w:rPr>
        <w:t>5</w:t>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（6）</w:t>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w:t>
      </w:r>
      <w:r>
        <w:rPr>
          <w:color w:val="auto"/>
        </w:rPr>
        <w:t>7</w:t>
      </w:r>
      <w:r>
        <w:rPr>
          <w:rFonts w:hint="eastAsia"/>
          <w:color w:val="auto"/>
        </w:rPr>
        <w:t>）其他需要提供的资料。</w:t>
      </w:r>
    </w:p>
    <w:p>
      <w:pPr>
        <w:pStyle w:val="30"/>
        <w:spacing w:line="560" w:lineRule="exact"/>
        <w:outlineLvl w:val="1"/>
        <w:rPr>
          <w:rFonts w:ascii="Times New Roman" w:hAnsi="Times New Roman"/>
          <w:b w:val="0"/>
          <w:bCs w:val="0"/>
        </w:rPr>
      </w:pPr>
      <w:bookmarkStart w:id="38" w:name="_Toc163392944"/>
      <w:r>
        <w:rPr>
          <w:rFonts w:hint="eastAsia" w:ascii="Times New Roman" w:hAnsi="Times New Roman"/>
          <w:b w:val="0"/>
          <w:bCs w:val="0"/>
        </w:rPr>
        <w:t>（十二）支持楼宇招引外资企业</w:t>
      </w:r>
      <w:bookmarkEnd w:id="38"/>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color w:val="auto"/>
        </w:rPr>
        <w:t xml:space="preserve">3.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新引进外资企业</w:t>
      </w:r>
      <w:r>
        <w:rPr>
          <w:rFonts w:hint="eastAsia" w:ascii="仿宋_GB2312" w:hAnsi="仿宋_GB2312"/>
          <w:color w:val="auto"/>
        </w:rPr>
        <w:t>实质性经营满一年。</w:t>
      </w:r>
    </w:p>
    <w:p>
      <w:pPr>
        <w:spacing w:line="560" w:lineRule="exact"/>
        <w:ind w:firstLine="640" w:firstLineChars="200"/>
        <w:rPr>
          <w:rFonts w:ascii="仿宋_GB2312" w:hAnsi="仿宋_GB2312"/>
          <w:color w:val="auto"/>
        </w:rPr>
      </w:pPr>
      <w:r>
        <w:rPr>
          <w:rFonts w:hint="eastAsia"/>
          <w:color w:val="auto"/>
        </w:rPr>
        <w:t>4</w:t>
      </w:r>
      <w:r>
        <w:rPr>
          <w:color w:val="auto"/>
        </w:rPr>
        <w:t xml:space="preserve">. </w:t>
      </w:r>
      <w:r>
        <w:rPr>
          <w:rFonts w:hint="eastAsia"/>
          <w:color w:val="auto"/>
        </w:rPr>
        <w:t>奖励标准</w:t>
      </w:r>
    </w:p>
    <w:p>
      <w:pPr>
        <w:spacing w:line="560" w:lineRule="exact"/>
        <w:ind w:firstLine="640" w:firstLineChars="200"/>
        <w:rPr>
          <w:color w:val="auto"/>
        </w:rPr>
      </w:pPr>
      <w:r>
        <w:rPr>
          <w:rFonts w:hint="eastAsia"/>
          <w:color w:val="auto"/>
        </w:rPr>
        <w:t>（1）每新引进一家外方投资者实缴到位资本不低于</w:t>
      </w:r>
      <w:r>
        <w:rPr>
          <w:color w:val="auto"/>
        </w:rPr>
        <w:t>1</w:t>
      </w:r>
      <w:r>
        <w:rPr>
          <w:rFonts w:hint="eastAsia"/>
          <w:color w:val="auto"/>
        </w:rPr>
        <w:t>0</w:t>
      </w:r>
      <w:r>
        <w:rPr>
          <w:color w:val="auto"/>
        </w:rPr>
        <w:t>0</w:t>
      </w:r>
      <w:r>
        <w:rPr>
          <w:rFonts w:hint="eastAsia"/>
          <w:color w:val="auto"/>
        </w:rPr>
        <w:t>万（含）美元的外资企业，给予3万元一次性奖励；</w:t>
      </w:r>
    </w:p>
    <w:p>
      <w:pPr>
        <w:spacing w:line="560" w:lineRule="exact"/>
        <w:ind w:firstLine="640" w:firstLineChars="200"/>
        <w:rPr>
          <w:color w:val="auto"/>
        </w:rPr>
      </w:pPr>
      <w:r>
        <w:rPr>
          <w:rFonts w:hint="eastAsia"/>
          <w:color w:val="auto"/>
        </w:rPr>
        <w:t>（</w:t>
      </w:r>
      <w:r>
        <w:rPr>
          <w:color w:val="auto"/>
        </w:rPr>
        <w:t>2</w:t>
      </w:r>
      <w:r>
        <w:rPr>
          <w:rFonts w:hint="eastAsia"/>
          <w:color w:val="auto"/>
        </w:rPr>
        <w:t>）每年奖励总额不超过</w:t>
      </w:r>
      <w:r>
        <w:rPr>
          <w:color w:val="auto"/>
        </w:rPr>
        <w:t>3</w:t>
      </w:r>
      <w:r>
        <w:rPr>
          <w:rFonts w:hint="eastAsia"/>
          <w:color w:val="auto"/>
        </w:rPr>
        <w:t>0万。</w:t>
      </w:r>
    </w:p>
    <w:p>
      <w:pPr>
        <w:spacing w:line="560" w:lineRule="exact"/>
        <w:ind w:firstLine="640" w:firstLineChars="200"/>
        <w:rPr>
          <w:color w:val="auto"/>
        </w:rPr>
      </w:pPr>
      <w:r>
        <w:rPr>
          <w:rFonts w:hint="eastAsia"/>
          <w:color w:val="auto"/>
        </w:rPr>
        <w:t>5</w:t>
      </w:r>
      <w:r>
        <w:rPr>
          <w:color w:val="auto"/>
        </w:rPr>
        <w:t xml:space="preserve">.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外资企业入驻商务楼宇的租赁合同复印件；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39" w:name="_Toc163392945"/>
      <w:r>
        <w:rPr>
          <w:rFonts w:hint="eastAsia" w:ascii="Times New Roman" w:hAnsi="Times New Roman"/>
          <w:b w:val="0"/>
          <w:bCs w:val="0"/>
        </w:rPr>
        <w:t>（十三）支持楼宇招引高能级企业</w:t>
      </w:r>
      <w:bookmarkEnd w:id="39"/>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新引进高能级企业</w:t>
      </w:r>
      <w:r>
        <w:rPr>
          <w:rFonts w:hint="eastAsia" w:ascii="仿宋_GB2312" w:hAnsi="仿宋_GB2312"/>
          <w:color w:val="auto"/>
        </w:rPr>
        <w:t>实质性经营满一年。</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（1）每新引进一家高能级企业，给予</w:t>
      </w:r>
      <w:r>
        <w:rPr>
          <w:color w:val="auto"/>
        </w:rPr>
        <w:t>5</w:t>
      </w:r>
      <w:r>
        <w:rPr>
          <w:rFonts w:hint="eastAsia"/>
          <w:color w:val="auto"/>
        </w:rPr>
        <w:t>万元一次性奖励；</w:t>
      </w:r>
    </w:p>
    <w:p>
      <w:pPr>
        <w:spacing w:line="560" w:lineRule="exact"/>
        <w:ind w:firstLine="640" w:firstLineChars="200"/>
        <w:rPr>
          <w:color w:val="auto"/>
        </w:rPr>
      </w:pPr>
      <w:r>
        <w:rPr>
          <w:rFonts w:hint="eastAsia"/>
          <w:color w:val="auto"/>
        </w:rPr>
        <w:t>（</w:t>
      </w:r>
      <w:r>
        <w:rPr>
          <w:color w:val="auto"/>
        </w:rPr>
        <w:t>3</w:t>
      </w:r>
      <w:r>
        <w:rPr>
          <w:rFonts w:hint="eastAsia"/>
          <w:color w:val="auto"/>
        </w:rPr>
        <w:t>）每年奖励总额不超过</w:t>
      </w:r>
      <w:r>
        <w:rPr>
          <w:color w:val="auto"/>
        </w:rPr>
        <w:t>5</w:t>
      </w:r>
      <w:r>
        <w:rPr>
          <w:rFonts w:hint="eastAsia"/>
          <w:color w:val="auto"/>
        </w:rPr>
        <w:t>0万。</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高能级企业入驻商务楼宇的租赁合同复印件；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40" w:name="_Toc163392946"/>
      <w:r>
        <w:rPr>
          <w:rFonts w:hint="eastAsia" w:ascii="Times New Roman" w:hAnsi="Times New Roman"/>
          <w:b w:val="0"/>
          <w:bCs w:val="0"/>
        </w:rPr>
        <w:t>（十四）支持楼宇招引科研平台</w:t>
      </w:r>
      <w:bookmarkEnd w:id="40"/>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color w:val="auto"/>
        </w:rPr>
        <w:t xml:space="preserve">2.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rFonts w:ascii="仿宋_GB2312" w:hAnsi="仿宋_GB2312"/>
          <w:color w:val="auto"/>
        </w:rPr>
      </w:pPr>
      <w:r>
        <w:rPr>
          <w:rFonts w:hint="eastAsia"/>
          <w:color w:val="auto"/>
        </w:rPr>
        <w:t>新引进科技研发平台</w:t>
      </w:r>
      <w:r>
        <w:rPr>
          <w:rFonts w:hint="eastAsia" w:ascii="仿宋_GB2312" w:hAnsi="仿宋_GB2312"/>
          <w:color w:val="auto"/>
        </w:rPr>
        <w:t>实质性经营满一年。</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（1）每新引进一家开展实质经营的国家、省、市级重点实验室或工程技术研究中心等科技研发平台，给予</w:t>
      </w:r>
      <w:r>
        <w:rPr>
          <w:color w:val="auto"/>
        </w:rPr>
        <w:t>5</w:t>
      </w:r>
      <w:r>
        <w:rPr>
          <w:rFonts w:hint="eastAsia"/>
          <w:color w:val="auto"/>
        </w:rPr>
        <w:t>万一次性奖励；</w:t>
      </w:r>
    </w:p>
    <w:p>
      <w:pPr>
        <w:spacing w:line="560" w:lineRule="exact"/>
        <w:ind w:firstLine="640" w:firstLineChars="200"/>
        <w:rPr>
          <w:color w:val="auto"/>
        </w:rPr>
      </w:pPr>
      <w:r>
        <w:rPr>
          <w:rFonts w:hint="eastAsia"/>
          <w:color w:val="auto"/>
        </w:rPr>
        <w:t>（</w:t>
      </w:r>
      <w:r>
        <w:rPr>
          <w:color w:val="auto"/>
        </w:rPr>
        <w:t>2</w:t>
      </w:r>
      <w:r>
        <w:rPr>
          <w:rFonts w:hint="eastAsia"/>
          <w:color w:val="auto"/>
        </w:rPr>
        <w:t>）每年奖励总额不超过</w:t>
      </w:r>
      <w:r>
        <w:rPr>
          <w:color w:val="auto"/>
        </w:rPr>
        <w:t>2</w:t>
      </w:r>
      <w:r>
        <w:rPr>
          <w:rFonts w:hint="eastAsia"/>
          <w:color w:val="auto"/>
        </w:rPr>
        <w:t>0万。</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r>
        <w:rPr>
          <w:color w:val="auto"/>
        </w:rPr>
        <w:t xml:space="preserve"> </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科研平台入驻商务楼宇的租赁合同复印件；</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rPr>
        <w:t>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5 \* GB3</w:instrText>
      </w:r>
      <w:r>
        <w:rPr>
          <w:color w:val="auto"/>
        </w:rPr>
        <w:instrText xml:space="preserve"> </w:instrText>
      </w:r>
      <w:r>
        <w:rPr>
          <w:color w:val="auto"/>
        </w:rPr>
        <w:fldChar w:fldCharType="separate"/>
      </w:r>
      <w:r>
        <w:rPr>
          <w:rFonts w:hint="eastAsia"/>
          <w:color w:val="auto"/>
        </w:rPr>
        <w:t>⑤</w:t>
      </w:r>
      <w:r>
        <w:rPr>
          <w:color w:val="auto"/>
        </w:rPr>
        <w:fldChar w:fldCharType="end"/>
      </w:r>
      <w:r>
        <w:rPr>
          <w:rFonts w:hint="eastAsia"/>
          <w:color w:val="auto"/>
        </w:rPr>
        <w:t>其他需要提供的资料。</w:t>
      </w:r>
    </w:p>
    <w:p>
      <w:pPr>
        <w:pStyle w:val="30"/>
        <w:spacing w:line="560" w:lineRule="exact"/>
        <w:outlineLvl w:val="1"/>
        <w:rPr>
          <w:rFonts w:ascii="Times New Roman" w:hAnsi="Times New Roman"/>
          <w:b w:val="0"/>
          <w:bCs w:val="0"/>
        </w:rPr>
      </w:pPr>
      <w:bookmarkStart w:id="41" w:name="_Toc163392947"/>
      <w:r>
        <w:rPr>
          <w:rFonts w:hint="eastAsia" w:ascii="Times New Roman" w:hAnsi="Times New Roman"/>
          <w:b w:val="0"/>
          <w:bCs w:val="0"/>
        </w:rPr>
        <w:t>（十五）支持打造总部经济专业楼宇</w:t>
      </w:r>
      <w:bookmarkEnd w:id="41"/>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rFonts w:hint="eastAsia"/>
          <w:color w:val="auto"/>
        </w:rPr>
        <w:t>2</w:t>
      </w:r>
      <w:r>
        <w:rPr>
          <w:color w:val="auto"/>
        </w:rPr>
        <w:t xml:space="preserve">.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color w:val="auto"/>
        </w:rPr>
      </w:pPr>
      <w:r>
        <w:rPr>
          <w:rFonts w:hint="eastAsia"/>
          <w:color w:val="auto"/>
        </w:rPr>
        <w:t>（1）申报主体运营管理的楼宇应通过《政策》“适用范围”规定的“商务楼宇”认定；</w:t>
      </w:r>
    </w:p>
    <w:p>
      <w:pPr>
        <w:spacing w:line="560" w:lineRule="exact"/>
        <w:ind w:firstLine="640" w:firstLineChars="200"/>
        <w:rPr>
          <w:color w:val="auto"/>
        </w:rPr>
      </w:pPr>
      <w:r>
        <w:rPr>
          <w:rFonts w:hint="eastAsia"/>
          <w:color w:val="auto"/>
        </w:rPr>
        <w:t>（</w:t>
      </w:r>
      <w:r>
        <w:rPr>
          <w:color w:val="auto"/>
        </w:rPr>
        <w:t>2</w:t>
      </w:r>
      <w:r>
        <w:rPr>
          <w:rFonts w:hint="eastAsia"/>
          <w:color w:val="auto"/>
        </w:rPr>
        <w:t>）楼宇企业入驻率达80%（含）以上；</w:t>
      </w:r>
    </w:p>
    <w:p>
      <w:pPr>
        <w:spacing w:line="560" w:lineRule="exact"/>
        <w:ind w:firstLine="640" w:firstLineChars="200"/>
        <w:rPr>
          <w:color w:val="auto"/>
        </w:rPr>
      </w:pPr>
      <w:r>
        <w:rPr>
          <w:rFonts w:hint="eastAsia"/>
          <w:color w:val="auto"/>
        </w:rPr>
        <w:t>（</w:t>
      </w:r>
      <w:r>
        <w:rPr>
          <w:color w:val="auto"/>
        </w:rPr>
        <w:t>3</w:t>
      </w:r>
      <w:r>
        <w:rPr>
          <w:rFonts w:hint="eastAsia"/>
          <w:color w:val="auto"/>
        </w:rPr>
        <w:t>）属地注册率达80%（含）以上；</w:t>
      </w:r>
    </w:p>
    <w:p>
      <w:pPr>
        <w:spacing w:line="560" w:lineRule="exact"/>
        <w:ind w:firstLine="640" w:firstLineChars="200"/>
        <w:rPr>
          <w:color w:val="auto"/>
        </w:rPr>
      </w:pPr>
      <w:r>
        <w:rPr>
          <w:rFonts w:hint="eastAsia"/>
          <w:color w:val="auto"/>
        </w:rPr>
        <w:t>（</w:t>
      </w:r>
      <w:r>
        <w:rPr>
          <w:color w:val="auto"/>
        </w:rPr>
        <w:t>4</w:t>
      </w:r>
      <w:r>
        <w:rPr>
          <w:rFonts w:hint="eastAsia"/>
          <w:color w:val="auto"/>
        </w:rPr>
        <w:t>）总部企业使用面积达到</w:t>
      </w:r>
      <w:r>
        <w:rPr>
          <w:color w:val="auto"/>
        </w:rPr>
        <w:t>3</w:t>
      </w:r>
      <w:r>
        <w:rPr>
          <w:rFonts w:hint="eastAsia"/>
          <w:color w:val="auto"/>
        </w:rPr>
        <w:t>0%（含）以上，且总部企业数量达到2家以上，经认定为“总部经济专业楼宇”且承诺连续保持两年。</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（1）楼宇总运营面积</w:t>
      </w:r>
      <w:r>
        <w:rPr>
          <w:color w:val="auto"/>
        </w:rPr>
        <w:t>30</w:t>
      </w:r>
      <w:r>
        <w:rPr>
          <w:rFonts w:hint="eastAsia"/>
          <w:color w:val="auto"/>
        </w:rPr>
        <w:t>000平方米（含），给予楼宇运营企业50万元，奖励总额按照50%、50%的比例分两年支付；</w:t>
      </w:r>
    </w:p>
    <w:p>
      <w:pPr>
        <w:spacing w:line="560" w:lineRule="exact"/>
        <w:ind w:firstLine="640" w:firstLineChars="200"/>
        <w:rPr>
          <w:color w:val="auto"/>
        </w:rPr>
      </w:pPr>
      <w:r>
        <w:rPr>
          <w:rFonts w:hint="eastAsia"/>
          <w:color w:val="auto"/>
        </w:rPr>
        <w:t>（</w:t>
      </w:r>
      <w:r>
        <w:rPr>
          <w:color w:val="auto"/>
        </w:rPr>
        <w:t>2</w:t>
      </w:r>
      <w:r>
        <w:rPr>
          <w:rFonts w:hint="eastAsia"/>
          <w:color w:val="auto"/>
        </w:rPr>
        <w:t>）楼宇总运营面积</w:t>
      </w:r>
      <w:r>
        <w:rPr>
          <w:color w:val="auto"/>
        </w:rPr>
        <w:t>4</w:t>
      </w:r>
      <w:r>
        <w:rPr>
          <w:rFonts w:hint="eastAsia"/>
          <w:color w:val="auto"/>
        </w:rPr>
        <w:t>0000平方米（含），给予楼宇运营企业</w:t>
      </w:r>
      <w:r>
        <w:rPr>
          <w:color w:val="auto"/>
        </w:rPr>
        <w:t>10</w:t>
      </w:r>
      <w:r>
        <w:rPr>
          <w:rFonts w:hint="eastAsia"/>
          <w:color w:val="auto"/>
        </w:rPr>
        <w:t>0万元，奖励总额按照50%、50%的比例分两年支付；</w:t>
      </w:r>
    </w:p>
    <w:p>
      <w:pPr>
        <w:spacing w:line="560" w:lineRule="exact"/>
        <w:ind w:firstLine="640" w:firstLineChars="200"/>
        <w:rPr>
          <w:color w:val="auto"/>
        </w:rPr>
      </w:pPr>
      <w:r>
        <w:rPr>
          <w:rFonts w:hint="eastAsia"/>
          <w:color w:val="auto"/>
        </w:rPr>
        <w:t>（</w:t>
      </w:r>
      <w:r>
        <w:rPr>
          <w:color w:val="auto"/>
        </w:rPr>
        <w:t>3</w:t>
      </w:r>
      <w:r>
        <w:rPr>
          <w:rFonts w:hint="eastAsia"/>
          <w:color w:val="auto"/>
        </w:rPr>
        <w:t>）楼宇总运营面积</w:t>
      </w:r>
      <w:r>
        <w:rPr>
          <w:color w:val="auto"/>
        </w:rPr>
        <w:t>5</w:t>
      </w:r>
      <w:r>
        <w:rPr>
          <w:rFonts w:hint="eastAsia"/>
          <w:color w:val="auto"/>
        </w:rPr>
        <w:t>000</w:t>
      </w:r>
      <w:r>
        <w:rPr>
          <w:color w:val="auto"/>
        </w:rPr>
        <w:t>0</w:t>
      </w:r>
      <w:r>
        <w:rPr>
          <w:rFonts w:hint="eastAsia"/>
          <w:color w:val="auto"/>
        </w:rPr>
        <w:t>平方米（含），给予楼宇运营企业150万元，奖励总额按照50%、50%的比例分两年支付；</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（1）预先登记备案，需提交资料：</w:t>
      </w:r>
    </w:p>
    <w:p>
      <w:pPr>
        <w:spacing w:line="560" w:lineRule="exact"/>
        <w:ind w:firstLine="640" w:firstLineChars="200"/>
        <w:rPr>
          <w:color w:val="auto"/>
        </w:rPr>
      </w:pPr>
      <w:r>
        <w:rPr>
          <w:rFonts w:hint="eastAsia"/>
          <w:color w:val="auto"/>
        </w:rPr>
        <w:t>①《秀英区楼宇经济年度备案登记表》；</w:t>
      </w:r>
      <w:r>
        <w:rPr>
          <w:color w:val="auto"/>
        </w:rPr>
        <w:br w:type="textWrapping"/>
      </w:r>
      <w:r>
        <w:rPr>
          <w:color w:val="auto"/>
        </w:rPr>
        <w:t xml:space="preserve">    </w:t>
      </w:r>
      <w:r>
        <w:rPr>
          <w:rFonts w:hint="eastAsia"/>
          <w:color w:val="auto"/>
        </w:rPr>
        <w:t>②楼宇企业入驻率达80%（含）以上证明材料；</w:t>
      </w:r>
    </w:p>
    <w:p>
      <w:pPr>
        <w:spacing w:line="560" w:lineRule="exact"/>
        <w:ind w:firstLine="640" w:firstLineChars="200"/>
        <w:rPr>
          <w:color w:val="auto"/>
        </w:rPr>
      </w:pPr>
      <w:r>
        <w:rPr>
          <w:rFonts w:hint="eastAsia"/>
          <w:color w:val="auto"/>
        </w:rPr>
        <w:t>③楼宇企业属地注册率达80%（含）以上证明材料；</w:t>
      </w:r>
    </w:p>
    <w:p>
      <w:pPr>
        <w:spacing w:line="560" w:lineRule="exact"/>
        <w:ind w:firstLine="640" w:firstLineChars="200"/>
        <w:rPr>
          <w:color w:val="auto"/>
        </w:rPr>
      </w:pPr>
      <w:r>
        <w:rPr>
          <w:rFonts w:hint="eastAsia"/>
          <w:color w:val="auto"/>
        </w:rPr>
        <w:t>④申报主体的统一社会信用代码营业执照复印件、法定代表人身份证复印件、项目经办人身份证复印件、法定代表人授权委托证明书、法定代表人身份证明书；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⑤其他需要提供的资料。</w:t>
      </w:r>
    </w:p>
    <w:p>
      <w:pPr>
        <w:spacing w:line="560" w:lineRule="exact"/>
        <w:ind w:firstLine="640" w:firstLineChars="200"/>
        <w:rPr>
          <w:color w:val="auto"/>
        </w:rPr>
      </w:pPr>
      <w:r>
        <w:rPr>
          <w:rFonts w:hint="eastAsia"/>
          <w:color w:val="auto"/>
        </w:rPr>
        <w:t>（</w:t>
      </w:r>
      <w:r>
        <w:rPr>
          <w:color w:val="auto"/>
        </w:rPr>
        <w:t>2</w:t>
      </w:r>
      <w:r>
        <w:rPr>
          <w:rFonts w:hint="eastAsia"/>
          <w:color w:val="auto"/>
        </w:rPr>
        <w:t>）申请打造总部经济专业楼宇奖励，需提交资料：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楼宇总部企业使用面积达到</w:t>
      </w:r>
      <w:r>
        <w:rPr>
          <w:color w:val="auto"/>
        </w:rPr>
        <w:t>3</w:t>
      </w:r>
      <w:r>
        <w:rPr>
          <w:rFonts w:hint="eastAsia"/>
          <w:color w:val="auto"/>
        </w:rPr>
        <w:t>0%（含）以上证明材料且总部企业数量达到2家（含）以上证明材料（如租赁合同、总部企业证明材料、总部企业税务登记和统计关系隶属秀英区证明材料等），总部企业以省市商务部门认定为准；</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《申请秀英区楼宇经济政策发展专项资金承诺书(总部楼宇与特色产业楼宇)》；</w:t>
      </w:r>
    </w:p>
    <w:p>
      <w:pPr>
        <w:spacing w:line="560" w:lineRule="exact"/>
        <w:ind w:firstLine="640" w:firstLineChars="200"/>
        <w:rPr>
          <w:color w:val="auto"/>
        </w:rPr>
      </w:pPr>
      <w:r>
        <w:rPr>
          <w:rFonts w:hint="eastAsia"/>
          <w:color w:val="auto"/>
        </w:rPr>
        <w:t>⑤其他需要提供的资料。</w:t>
      </w:r>
    </w:p>
    <w:p>
      <w:pPr>
        <w:pStyle w:val="30"/>
        <w:spacing w:line="560" w:lineRule="exact"/>
        <w:outlineLvl w:val="1"/>
        <w:rPr>
          <w:rFonts w:ascii="Times New Roman" w:hAnsi="Times New Roman"/>
          <w:b w:val="0"/>
          <w:bCs w:val="0"/>
        </w:rPr>
      </w:pPr>
      <w:bookmarkStart w:id="42" w:name="_Toc163392948"/>
      <w:r>
        <w:rPr>
          <w:rFonts w:hint="eastAsia" w:ascii="Times New Roman" w:hAnsi="Times New Roman"/>
          <w:b w:val="0"/>
          <w:bCs w:val="0"/>
        </w:rPr>
        <w:t>（十六）支持培育特色产业楼宇</w:t>
      </w:r>
      <w:bookmarkEnd w:id="42"/>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rFonts w:hint="eastAsia"/>
          <w:color w:val="auto"/>
        </w:rPr>
        <w:t>2</w:t>
      </w:r>
      <w:r>
        <w:rPr>
          <w:color w:val="auto"/>
        </w:rPr>
        <w:t xml:space="preserve">.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color w:val="auto"/>
        </w:rPr>
      </w:pPr>
      <w:r>
        <w:rPr>
          <w:rFonts w:hint="eastAsia"/>
          <w:color w:val="auto"/>
        </w:rPr>
        <w:t>（1）申报主体运营管理的楼宇应通过《政策》“适用范围”规定的“商务楼宇”认定；</w:t>
      </w:r>
      <w:r>
        <w:rPr>
          <w:color w:val="auto"/>
        </w:rPr>
        <w:t xml:space="preserve"> </w:t>
      </w:r>
    </w:p>
    <w:p>
      <w:pPr>
        <w:spacing w:line="560" w:lineRule="exact"/>
        <w:ind w:firstLine="640" w:firstLineChars="200"/>
        <w:rPr>
          <w:color w:val="auto"/>
        </w:rPr>
      </w:pPr>
      <w:r>
        <w:rPr>
          <w:rFonts w:hint="eastAsia"/>
          <w:color w:val="auto"/>
        </w:rPr>
        <w:t>（</w:t>
      </w:r>
      <w:r>
        <w:rPr>
          <w:color w:val="auto"/>
        </w:rPr>
        <w:t>2</w:t>
      </w:r>
      <w:r>
        <w:rPr>
          <w:rFonts w:hint="eastAsia"/>
          <w:color w:val="auto"/>
        </w:rPr>
        <w:t>）楼宇企业入驻率达70%(含)以上；</w:t>
      </w:r>
      <w:r>
        <w:rPr>
          <w:color w:val="auto"/>
        </w:rPr>
        <w:t xml:space="preserve"> </w:t>
      </w:r>
    </w:p>
    <w:p>
      <w:pPr>
        <w:spacing w:line="560" w:lineRule="exact"/>
        <w:ind w:firstLine="640" w:firstLineChars="200"/>
        <w:rPr>
          <w:color w:val="auto"/>
        </w:rPr>
      </w:pPr>
      <w:r>
        <w:rPr>
          <w:rFonts w:hint="eastAsia"/>
          <w:color w:val="auto"/>
        </w:rPr>
        <w:t>（</w:t>
      </w:r>
      <w:r>
        <w:rPr>
          <w:color w:val="auto"/>
        </w:rPr>
        <w:t>3</w:t>
      </w:r>
      <w:r>
        <w:rPr>
          <w:rFonts w:hint="eastAsia"/>
          <w:color w:val="auto"/>
        </w:rPr>
        <w:t>）楼宇企业属地注册率达70%</w:t>
      </w:r>
      <w:r>
        <w:rPr>
          <w:color w:val="auto"/>
        </w:rPr>
        <w:t>(</w:t>
      </w:r>
      <w:r>
        <w:rPr>
          <w:rFonts w:hint="eastAsia"/>
          <w:color w:val="auto"/>
        </w:rPr>
        <w:t>含</w:t>
      </w:r>
      <w:r>
        <w:rPr>
          <w:color w:val="auto"/>
        </w:rPr>
        <w:t>)</w:t>
      </w:r>
      <w:r>
        <w:rPr>
          <w:rFonts w:hint="eastAsia"/>
          <w:color w:val="auto"/>
        </w:rPr>
        <w:t>以上；</w:t>
      </w:r>
      <w:r>
        <w:rPr>
          <w:color w:val="auto"/>
        </w:rPr>
        <w:t xml:space="preserve"> </w:t>
      </w:r>
    </w:p>
    <w:p>
      <w:pPr>
        <w:spacing w:line="560" w:lineRule="exact"/>
        <w:ind w:firstLine="640" w:firstLineChars="200"/>
        <w:rPr>
          <w:color w:val="auto"/>
        </w:rPr>
      </w:pPr>
      <w:r>
        <w:rPr>
          <w:rFonts w:hint="eastAsia"/>
          <w:color w:val="auto"/>
        </w:rPr>
        <w:t>（</w:t>
      </w:r>
      <w:r>
        <w:rPr>
          <w:color w:val="auto"/>
        </w:rPr>
        <w:t>4</w:t>
      </w:r>
      <w:r>
        <w:rPr>
          <w:rFonts w:hint="eastAsia"/>
          <w:color w:val="auto"/>
        </w:rPr>
        <w:t>） 楼宇产业集聚度或特色企业集中度达到70%（含）以上，且特色产业企业数量分别达到10家（含）、20家（含）、30家（含）、50家（含）以上，经认定为“特色产业楼宇”且承诺连续保持两年。</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（1）特色产业企业数量达到10家（含）的，特色产业运营面积为5000平方米(含)，给予楼宇运营企业50万元的奖励，奖励总额按照</w:t>
      </w:r>
      <w:r>
        <w:rPr>
          <w:color w:val="auto"/>
        </w:rPr>
        <w:t>5</w:t>
      </w:r>
      <w:r>
        <w:rPr>
          <w:rFonts w:hint="eastAsia"/>
          <w:color w:val="auto"/>
        </w:rPr>
        <w:t>0%、</w:t>
      </w:r>
      <w:r>
        <w:rPr>
          <w:color w:val="auto"/>
        </w:rPr>
        <w:t>5</w:t>
      </w:r>
      <w:r>
        <w:rPr>
          <w:rFonts w:hint="eastAsia"/>
          <w:color w:val="auto"/>
        </w:rPr>
        <w:t>0%的比例分两年支付；</w:t>
      </w:r>
      <w:r>
        <w:rPr>
          <w:color w:val="auto"/>
        </w:rPr>
        <w:t xml:space="preserve"> </w:t>
      </w:r>
    </w:p>
    <w:p>
      <w:pPr>
        <w:spacing w:line="560" w:lineRule="exact"/>
        <w:ind w:firstLine="640" w:firstLineChars="200"/>
        <w:rPr>
          <w:color w:val="auto"/>
        </w:rPr>
      </w:pPr>
      <w:r>
        <w:rPr>
          <w:rFonts w:hint="eastAsia"/>
          <w:color w:val="auto"/>
        </w:rPr>
        <w:t>（2）特色产业企业数量达到</w:t>
      </w:r>
      <w:r>
        <w:rPr>
          <w:color w:val="auto"/>
        </w:rPr>
        <w:t>2</w:t>
      </w:r>
      <w:r>
        <w:rPr>
          <w:rFonts w:hint="eastAsia"/>
          <w:color w:val="auto"/>
        </w:rPr>
        <w:t>0家（含）的，特色产业运营面积为10000平方米(含)，给予楼宇运营企业100万元的奖励，奖励总额按照</w:t>
      </w:r>
      <w:r>
        <w:rPr>
          <w:color w:val="auto"/>
        </w:rPr>
        <w:t>5</w:t>
      </w:r>
      <w:r>
        <w:rPr>
          <w:rFonts w:hint="eastAsia"/>
          <w:color w:val="auto"/>
        </w:rPr>
        <w:t>0%、</w:t>
      </w:r>
      <w:r>
        <w:rPr>
          <w:color w:val="auto"/>
        </w:rPr>
        <w:t>5</w:t>
      </w:r>
      <w:r>
        <w:rPr>
          <w:rFonts w:hint="eastAsia"/>
          <w:color w:val="auto"/>
        </w:rPr>
        <w:t>0%的比例分两年支付；</w:t>
      </w:r>
    </w:p>
    <w:p>
      <w:pPr>
        <w:spacing w:line="560" w:lineRule="exact"/>
        <w:ind w:firstLine="640" w:firstLineChars="200"/>
        <w:rPr>
          <w:color w:val="auto"/>
        </w:rPr>
      </w:pPr>
      <w:r>
        <w:rPr>
          <w:rFonts w:hint="eastAsia"/>
          <w:color w:val="auto"/>
        </w:rPr>
        <w:t>（</w:t>
      </w:r>
      <w:r>
        <w:rPr>
          <w:color w:val="auto"/>
        </w:rPr>
        <w:t>3</w:t>
      </w:r>
      <w:r>
        <w:rPr>
          <w:rFonts w:hint="eastAsia"/>
          <w:color w:val="auto"/>
        </w:rPr>
        <w:t>）特色产业企业数量达到</w:t>
      </w:r>
      <w:r>
        <w:rPr>
          <w:color w:val="auto"/>
        </w:rPr>
        <w:t>3</w:t>
      </w:r>
      <w:r>
        <w:rPr>
          <w:rFonts w:hint="eastAsia"/>
          <w:color w:val="auto"/>
        </w:rPr>
        <w:t>0家（含）的，特色产业运营面积为15000平方米(含)，给予楼宇运营企业150万元的奖励，奖励总额按照</w:t>
      </w:r>
      <w:r>
        <w:rPr>
          <w:color w:val="auto"/>
        </w:rPr>
        <w:t>5</w:t>
      </w:r>
      <w:r>
        <w:rPr>
          <w:rFonts w:hint="eastAsia"/>
          <w:color w:val="auto"/>
        </w:rPr>
        <w:t>0%、</w:t>
      </w:r>
      <w:r>
        <w:rPr>
          <w:color w:val="auto"/>
        </w:rPr>
        <w:t>5</w:t>
      </w:r>
      <w:r>
        <w:rPr>
          <w:rFonts w:hint="eastAsia"/>
          <w:color w:val="auto"/>
        </w:rPr>
        <w:t>0%的比例分两年支付；</w:t>
      </w:r>
    </w:p>
    <w:p>
      <w:pPr>
        <w:spacing w:line="560" w:lineRule="exact"/>
        <w:ind w:firstLine="640" w:firstLineChars="200"/>
        <w:rPr>
          <w:color w:val="auto"/>
        </w:rPr>
      </w:pPr>
      <w:r>
        <w:rPr>
          <w:rFonts w:hint="eastAsia"/>
          <w:color w:val="auto"/>
        </w:rPr>
        <w:t>（</w:t>
      </w:r>
      <w:r>
        <w:rPr>
          <w:color w:val="auto"/>
        </w:rPr>
        <w:t>4</w:t>
      </w:r>
      <w:r>
        <w:rPr>
          <w:rFonts w:hint="eastAsia"/>
          <w:color w:val="auto"/>
        </w:rPr>
        <w:t>）特色产业企业数量达到</w:t>
      </w:r>
      <w:r>
        <w:rPr>
          <w:color w:val="auto"/>
        </w:rPr>
        <w:t>5</w:t>
      </w:r>
      <w:r>
        <w:rPr>
          <w:rFonts w:hint="eastAsia"/>
          <w:color w:val="auto"/>
        </w:rPr>
        <w:t>0家（含）的，特色产业运营面积为20000平方米(含)以上，给予楼宇运营企业200万元的奖励，奖励总额按照</w:t>
      </w:r>
      <w:r>
        <w:rPr>
          <w:color w:val="auto"/>
        </w:rPr>
        <w:t>5</w:t>
      </w:r>
      <w:r>
        <w:rPr>
          <w:rFonts w:hint="eastAsia"/>
          <w:color w:val="auto"/>
        </w:rPr>
        <w:t>0%、</w:t>
      </w:r>
      <w:r>
        <w:rPr>
          <w:color w:val="auto"/>
        </w:rPr>
        <w:t>5</w:t>
      </w:r>
      <w:r>
        <w:rPr>
          <w:rFonts w:hint="eastAsia"/>
          <w:color w:val="auto"/>
        </w:rPr>
        <w:t>0%的比例分两年支付；</w:t>
      </w:r>
    </w:p>
    <w:p>
      <w:pPr>
        <w:spacing w:line="560" w:lineRule="exact"/>
        <w:ind w:firstLine="640" w:firstLineChars="200"/>
        <w:rPr>
          <w:color w:val="auto"/>
        </w:rPr>
      </w:pPr>
      <w:r>
        <w:rPr>
          <w:rFonts w:hint="eastAsia"/>
          <w:color w:val="auto"/>
        </w:rPr>
        <w:t>（</w:t>
      </w:r>
      <w:r>
        <w:rPr>
          <w:color w:val="auto"/>
        </w:rPr>
        <w:t>5</w:t>
      </w:r>
      <w:r>
        <w:rPr>
          <w:rFonts w:hint="eastAsia"/>
          <w:color w:val="auto"/>
        </w:rPr>
        <w:t>）本条款每年奖励总额不超过200万元。</w:t>
      </w:r>
    </w:p>
    <w:p>
      <w:pPr>
        <w:spacing w:line="560" w:lineRule="exact"/>
        <w:ind w:firstLine="640" w:firstLine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（1）预先登记备案，需提交资料：</w:t>
      </w:r>
    </w:p>
    <w:p>
      <w:pPr>
        <w:spacing w:line="560" w:lineRule="exact"/>
        <w:ind w:firstLine="640" w:firstLineChars="200"/>
        <w:rPr>
          <w:color w:val="auto"/>
        </w:rPr>
      </w:pPr>
      <w:r>
        <w:rPr>
          <w:rFonts w:hint="eastAsia"/>
          <w:color w:val="auto"/>
        </w:rPr>
        <w:t>①《秀英区楼宇经济年度备案登记表》；</w:t>
      </w:r>
    </w:p>
    <w:p>
      <w:pPr>
        <w:spacing w:line="560" w:lineRule="exact"/>
        <w:ind w:firstLine="640" w:firstLineChars="200"/>
        <w:rPr>
          <w:color w:val="auto"/>
        </w:rPr>
      </w:pPr>
      <w:r>
        <w:rPr>
          <w:rFonts w:hint="eastAsia"/>
          <w:color w:val="auto"/>
        </w:rPr>
        <w:t>②楼宇企业入驻率达70%(含)以上证明材料；</w:t>
      </w:r>
    </w:p>
    <w:p>
      <w:pPr>
        <w:spacing w:line="560" w:lineRule="exact"/>
        <w:ind w:firstLine="640" w:firstLineChars="200"/>
        <w:rPr>
          <w:color w:val="auto"/>
        </w:rPr>
      </w:pPr>
      <w:r>
        <w:rPr>
          <w:rFonts w:hint="eastAsia"/>
          <w:color w:val="auto"/>
        </w:rPr>
        <w:t>③楼宇企业属地注册率达70%(含)以上证明材料；</w:t>
      </w:r>
    </w:p>
    <w:p>
      <w:pPr>
        <w:spacing w:line="560" w:lineRule="exact"/>
        <w:ind w:firstLine="640" w:firstLineChars="200"/>
        <w:rPr>
          <w:color w:val="auto"/>
        </w:rPr>
      </w:pPr>
      <w:r>
        <w:rPr>
          <w:rFonts w:hint="eastAsia"/>
          <w:color w:val="auto"/>
        </w:rPr>
        <w:t>④申报主体的统一社会信用代码营业执照复印件、法定代表人身份证复印件、项目经办人身份证复印件、法定代表人授权委托证明书、法定代表人身份证明书；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⑤其他需要提供的资料。</w:t>
      </w:r>
    </w:p>
    <w:p>
      <w:pPr>
        <w:spacing w:line="560" w:lineRule="exact"/>
        <w:ind w:firstLine="640" w:firstLineChars="200"/>
        <w:rPr>
          <w:color w:val="auto"/>
        </w:rPr>
      </w:pPr>
      <w:r>
        <w:rPr>
          <w:rFonts w:hint="eastAsia"/>
          <w:color w:val="auto"/>
        </w:rPr>
        <w:t>（</w:t>
      </w:r>
      <w:r>
        <w:rPr>
          <w:color w:val="auto"/>
        </w:rPr>
        <w:t>2</w:t>
      </w:r>
      <w:r>
        <w:rPr>
          <w:rFonts w:hint="eastAsia"/>
          <w:color w:val="auto"/>
        </w:rPr>
        <w:t>）申请打造特色产业楼宇奖励，需提交资料：</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1 \* GB3</w:instrText>
      </w:r>
      <w:r>
        <w:rPr>
          <w:color w:val="auto"/>
        </w:rPr>
        <w:instrText xml:space="preserve"> </w:instrText>
      </w:r>
      <w:r>
        <w:rPr>
          <w:color w:val="auto"/>
        </w:rPr>
        <w:fldChar w:fldCharType="separate"/>
      </w:r>
      <w:r>
        <w:rPr>
          <w:rFonts w:hint="eastAsia"/>
          <w:color w:val="auto"/>
        </w:rPr>
        <w:t>①</w:t>
      </w:r>
      <w:r>
        <w:rPr>
          <w:color w:val="auto"/>
        </w:rPr>
        <w:fldChar w:fldCharType="end"/>
      </w:r>
      <w:r>
        <w:rPr>
          <w:rFonts w:hint="eastAsia"/>
          <w:color w:val="auto"/>
        </w:rPr>
        <w:t>《秀英区楼宇经济发展专项资金申请表》；</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2 \* GB3</w:instrText>
      </w:r>
      <w:r>
        <w:rPr>
          <w:color w:val="auto"/>
        </w:rPr>
        <w:instrText xml:space="preserve"> </w:instrText>
      </w:r>
      <w:r>
        <w:rPr>
          <w:color w:val="auto"/>
        </w:rPr>
        <w:fldChar w:fldCharType="separate"/>
      </w:r>
      <w:r>
        <w:rPr>
          <w:rFonts w:hint="eastAsia"/>
          <w:color w:val="auto"/>
        </w:rPr>
        <w:t>②</w:t>
      </w:r>
      <w:r>
        <w:rPr>
          <w:color w:val="auto"/>
        </w:rPr>
        <w:fldChar w:fldCharType="end"/>
      </w:r>
      <w:r>
        <w:rPr>
          <w:rFonts w:hint="eastAsia"/>
          <w:color w:val="auto"/>
        </w:rPr>
        <w:t>楼宇产业集聚度或特色企业集中度达到70%(含)以上证明材料；</w:t>
      </w:r>
    </w:p>
    <w:p>
      <w:pPr>
        <w:spacing w:line="560" w:lineRule="exact"/>
        <w:ind w:firstLine="640" w:firstLineChars="200"/>
        <w:rPr>
          <w:color w:val="auto"/>
          <w:lang w:val="zh-CN"/>
        </w:rPr>
      </w:pPr>
      <w:r>
        <w:rPr>
          <w:color w:val="auto"/>
        </w:rPr>
        <w:fldChar w:fldCharType="begin"/>
      </w:r>
      <w:r>
        <w:rPr>
          <w:color w:val="auto"/>
        </w:rPr>
        <w:instrText xml:space="preserve"> </w:instrText>
      </w:r>
      <w:r>
        <w:rPr>
          <w:rFonts w:hint="eastAsia"/>
          <w:color w:val="auto"/>
        </w:rPr>
        <w:instrText xml:space="preserve">= 3 \* GB3</w:instrText>
      </w:r>
      <w:r>
        <w:rPr>
          <w:color w:val="auto"/>
        </w:rPr>
        <w:instrText xml:space="preserve"> </w:instrText>
      </w:r>
      <w:r>
        <w:rPr>
          <w:color w:val="auto"/>
        </w:rPr>
        <w:fldChar w:fldCharType="separate"/>
      </w:r>
      <w:r>
        <w:rPr>
          <w:rFonts w:hint="eastAsia"/>
          <w:color w:val="auto"/>
        </w:rPr>
        <w:t>③</w:t>
      </w:r>
      <w:r>
        <w:rPr>
          <w:color w:val="auto"/>
        </w:rPr>
        <w:fldChar w:fldCharType="end"/>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color w:val="auto"/>
        </w:rPr>
        <w:fldChar w:fldCharType="begin"/>
      </w:r>
      <w:r>
        <w:rPr>
          <w:color w:val="auto"/>
        </w:rPr>
        <w:instrText xml:space="preserve"> </w:instrText>
      </w:r>
      <w:r>
        <w:rPr>
          <w:rFonts w:hint="eastAsia"/>
          <w:color w:val="auto"/>
        </w:rPr>
        <w:instrText xml:space="preserve">= 4 \* GB3</w:instrText>
      </w:r>
      <w:r>
        <w:rPr>
          <w:color w:val="auto"/>
        </w:rPr>
        <w:instrText xml:space="preserve"> </w:instrText>
      </w:r>
      <w:r>
        <w:rPr>
          <w:color w:val="auto"/>
        </w:rPr>
        <w:fldChar w:fldCharType="separate"/>
      </w:r>
      <w:r>
        <w:rPr>
          <w:rFonts w:hint="eastAsia"/>
          <w:color w:val="auto"/>
        </w:rPr>
        <w:t>④</w:t>
      </w:r>
      <w:r>
        <w:rPr>
          <w:color w:val="auto"/>
        </w:rPr>
        <w:fldChar w:fldCharType="end"/>
      </w:r>
      <w:r>
        <w:rPr>
          <w:rFonts w:hint="eastAsia"/>
          <w:color w:val="auto"/>
        </w:rPr>
        <w:t>《申请秀英区楼宇经济政策发展专项资金承诺书(总部楼宇与特色产业楼宇)》；</w:t>
      </w:r>
    </w:p>
    <w:p>
      <w:pPr>
        <w:spacing w:line="560" w:lineRule="exact"/>
        <w:ind w:firstLine="640" w:firstLineChars="200"/>
        <w:rPr>
          <w:color w:val="auto"/>
        </w:rPr>
      </w:pPr>
      <w:r>
        <w:rPr>
          <w:rFonts w:hint="eastAsia"/>
          <w:color w:val="auto"/>
        </w:rPr>
        <w:t>⑤其他需要提供的资料。</w:t>
      </w:r>
    </w:p>
    <w:p>
      <w:pPr>
        <w:pStyle w:val="30"/>
        <w:spacing w:line="560" w:lineRule="exact"/>
        <w:outlineLvl w:val="1"/>
        <w:rPr>
          <w:rFonts w:ascii="Times New Roman" w:hAnsi="Times New Roman"/>
          <w:b w:val="0"/>
          <w:bCs w:val="0"/>
        </w:rPr>
      </w:pPr>
      <w:bookmarkStart w:id="43" w:name="_Toc163392949"/>
      <w:r>
        <w:rPr>
          <w:rFonts w:hint="eastAsia" w:ascii="Times New Roman" w:hAnsi="Times New Roman"/>
          <w:b w:val="0"/>
          <w:bCs w:val="0"/>
        </w:rPr>
        <w:t>（十七）支持培育亿元楼宇</w:t>
      </w:r>
      <w:bookmarkEnd w:id="43"/>
    </w:p>
    <w:p>
      <w:pPr>
        <w:spacing w:line="560" w:lineRule="exact"/>
        <w:ind w:firstLine="640" w:firstLineChars="200"/>
        <w:rPr>
          <w:color w:val="auto"/>
        </w:rPr>
      </w:pPr>
      <w:r>
        <w:rPr>
          <w:rFonts w:hint="eastAsia"/>
          <w:color w:val="auto"/>
        </w:rPr>
        <w:t>1．申报主体</w:t>
      </w:r>
    </w:p>
    <w:p>
      <w:pPr>
        <w:spacing w:line="560" w:lineRule="exact"/>
        <w:ind w:firstLine="640" w:firstLineChars="200"/>
        <w:rPr>
          <w:color w:val="auto"/>
        </w:rPr>
      </w:pPr>
      <w:r>
        <w:rPr>
          <w:rFonts w:hint="eastAsia"/>
          <w:color w:val="auto"/>
        </w:rPr>
        <w:t>楼宇运营企业。</w:t>
      </w:r>
    </w:p>
    <w:p>
      <w:pPr>
        <w:spacing w:line="560" w:lineRule="exact"/>
        <w:ind w:firstLine="640" w:firstLineChars="200"/>
        <w:rPr>
          <w:color w:val="auto"/>
        </w:rPr>
      </w:pPr>
      <w:r>
        <w:rPr>
          <w:rFonts w:hint="eastAsia"/>
          <w:color w:val="auto"/>
        </w:rPr>
        <w:t>2</w:t>
      </w:r>
      <w:r>
        <w:rPr>
          <w:color w:val="auto"/>
        </w:rPr>
        <w:t xml:space="preserve">. </w:t>
      </w:r>
      <w:r>
        <w:rPr>
          <w:rFonts w:hint="eastAsia"/>
          <w:color w:val="auto"/>
        </w:rPr>
        <w:t>申报时间</w:t>
      </w:r>
    </w:p>
    <w:p>
      <w:pPr>
        <w:spacing w:line="560" w:lineRule="exact"/>
        <w:ind w:firstLine="640" w:firstLineChars="200"/>
        <w:rPr>
          <w:color w:val="auto"/>
        </w:rPr>
      </w:pPr>
      <w:r>
        <w:rPr>
          <w:rFonts w:hint="eastAsia"/>
          <w:color w:val="auto"/>
        </w:rPr>
        <w:t>2</w:t>
      </w:r>
      <w:r>
        <w:rPr>
          <w:color w:val="auto"/>
        </w:rPr>
        <w:t>024</w:t>
      </w:r>
      <w:r>
        <w:rPr>
          <w:rFonts w:hint="eastAsia"/>
          <w:color w:val="auto"/>
        </w:rPr>
        <w:t>年1</w:t>
      </w:r>
      <w:r>
        <w:rPr>
          <w:color w:val="auto"/>
        </w:rPr>
        <w:t>0</w:t>
      </w:r>
      <w:r>
        <w:rPr>
          <w:rFonts w:hint="eastAsia"/>
          <w:color w:val="auto"/>
        </w:rPr>
        <w:t>月1日</w:t>
      </w:r>
      <w:r>
        <w:rPr>
          <w:color w:val="auto"/>
        </w:rPr>
        <w:t>-11</w:t>
      </w:r>
      <w:r>
        <w:rPr>
          <w:rFonts w:hint="eastAsia"/>
          <w:color w:val="auto"/>
        </w:rPr>
        <w:t>月3</w:t>
      </w:r>
      <w:r>
        <w:rPr>
          <w:color w:val="auto"/>
        </w:rPr>
        <w:t>0</w:t>
      </w:r>
      <w:r>
        <w:rPr>
          <w:rFonts w:hint="eastAsia"/>
          <w:color w:val="auto"/>
        </w:rPr>
        <w:t>日、2025年5月1日至6月30日、2025年10月1日至11月30日按要求提交申请资料。</w:t>
      </w:r>
    </w:p>
    <w:p>
      <w:pPr>
        <w:spacing w:line="560" w:lineRule="exact"/>
        <w:ind w:firstLine="640" w:firstLineChars="200"/>
        <w:rPr>
          <w:color w:val="auto"/>
        </w:rPr>
      </w:pPr>
      <w:r>
        <w:rPr>
          <w:rFonts w:hint="eastAsia"/>
          <w:color w:val="auto"/>
        </w:rPr>
        <w:t>3</w:t>
      </w:r>
      <w:r>
        <w:rPr>
          <w:color w:val="auto"/>
        </w:rPr>
        <w:t xml:space="preserve">. </w:t>
      </w:r>
      <w:r>
        <w:rPr>
          <w:rFonts w:hint="eastAsia"/>
          <w:color w:val="auto"/>
        </w:rPr>
        <w:t>申报条件</w:t>
      </w:r>
    </w:p>
    <w:p>
      <w:pPr>
        <w:spacing w:line="560" w:lineRule="exact"/>
        <w:ind w:firstLine="640" w:firstLineChars="200"/>
        <w:rPr>
          <w:color w:val="auto"/>
        </w:rPr>
      </w:pPr>
      <w:r>
        <w:rPr>
          <w:rFonts w:hint="eastAsia"/>
          <w:color w:val="auto"/>
        </w:rPr>
        <w:t>（1）申报主体运营管理的楼宇应通过《政策》“适用范围”规定的“商务楼宇”认定；</w:t>
      </w:r>
      <w:r>
        <w:rPr>
          <w:color w:val="auto"/>
        </w:rPr>
        <w:t xml:space="preserve"> </w:t>
      </w:r>
    </w:p>
    <w:p>
      <w:pPr>
        <w:spacing w:line="560" w:lineRule="exact"/>
        <w:ind w:firstLine="640" w:firstLineChars="200"/>
        <w:rPr>
          <w:color w:val="auto"/>
        </w:rPr>
      </w:pPr>
      <w:r>
        <w:rPr>
          <w:rFonts w:hint="eastAsia"/>
          <w:color w:val="auto"/>
        </w:rPr>
        <w:t>（</w:t>
      </w:r>
      <w:r>
        <w:rPr>
          <w:color w:val="auto"/>
        </w:rPr>
        <w:t>2</w:t>
      </w:r>
      <w:r>
        <w:rPr>
          <w:rFonts w:hint="eastAsia"/>
          <w:color w:val="auto"/>
        </w:rPr>
        <w:t>）楼宇内纳统企业年度总营业收入(不含房地产业)首次超过50亿元(含)、100亿元(含)、200亿元(含)、500亿元(含)、1000亿元(含)以上的商务楼宇。</w:t>
      </w:r>
    </w:p>
    <w:p>
      <w:pPr>
        <w:spacing w:line="560" w:lineRule="exact"/>
        <w:ind w:firstLine="640" w:firstLineChars="200"/>
        <w:rPr>
          <w:color w:val="auto"/>
        </w:rPr>
      </w:pPr>
      <w:r>
        <w:rPr>
          <w:color w:val="auto"/>
        </w:rPr>
        <w:t xml:space="preserve">4. </w:t>
      </w:r>
      <w:r>
        <w:rPr>
          <w:rFonts w:hint="eastAsia"/>
          <w:color w:val="auto"/>
        </w:rPr>
        <w:t>奖励标准</w:t>
      </w:r>
    </w:p>
    <w:p>
      <w:pPr>
        <w:spacing w:line="560" w:lineRule="exact"/>
        <w:ind w:firstLine="640" w:firstLineChars="200"/>
        <w:rPr>
          <w:color w:val="auto"/>
        </w:rPr>
      </w:pPr>
      <w:r>
        <w:rPr>
          <w:rFonts w:hint="eastAsia"/>
          <w:color w:val="auto"/>
        </w:rPr>
        <w:t>（1）年度总营业收入首次超过</w:t>
      </w:r>
      <w:r>
        <w:rPr>
          <w:color w:val="auto"/>
        </w:rPr>
        <w:t>50</w:t>
      </w:r>
      <w:r>
        <w:rPr>
          <w:rFonts w:hint="eastAsia"/>
          <w:color w:val="auto"/>
        </w:rPr>
        <w:t>亿元(含</w:t>
      </w:r>
      <w:r>
        <w:rPr>
          <w:color w:val="auto"/>
        </w:rPr>
        <w:t>)</w:t>
      </w:r>
      <w:r>
        <w:rPr>
          <w:rFonts w:hint="eastAsia"/>
          <w:color w:val="auto"/>
        </w:rPr>
        <w:t>，给予5万元的奖励；</w:t>
      </w:r>
    </w:p>
    <w:p>
      <w:pPr>
        <w:spacing w:line="560" w:lineRule="exact"/>
        <w:ind w:firstLine="640" w:firstLineChars="200"/>
        <w:rPr>
          <w:color w:val="auto"/>
        </w:rPr>
      </w:pPr>
      <w:r>
        <w:rPr>
          <w:rFonts w:hint="eastAsia"/>
          <w:color w:val="auto"/>
        </w:rPr>
        <w:t>（</w:t>
      </w:r>
      <w:r>
        <w:rPr>
          <w:color w:val="auto"/>
        </w:rPr>
        <w:t>2</w:t>
      </w:r>
      <w:r>
        <w:rPr>
          <w:rFonts w:hint="eastAsia"/>
          <w:color w:val="auto"/>
        </w:rPr>
        <w:t>）年度总营业收入首次超过</w:t>
      </w:r>
      <w:r>
        <w:rPr>
          <w:color w:val="auto"/>
        </w:rPr>
        <w:t>100</w:t>
      </w:r>
      <w:r>
        <w:rPr>
          <w:rFonts w:hint="eastAsia"/>
          <w:color w:val="auto"/>
        </w:rPr>
        <w:t>亿元(含</w:t>
      </w:r>
      <w:r>
        <w:rPr>
          <w:color w:val="auto"/>
        </w:rPr>
        <w:t>)</w:t>
      </w:r>
      <w:r>
        <w:rPr>
          <w:rFonts w:hint="eastAsia"/>
          <w:color w:val="auto"/>
        </w:rPr>
        <w:t>，给予</w:t>
      </w:r>
      <w:r>
        <w:rPr>
          <w:color w:val="auto"/>
        </w:rPr>
        <w:t>10</w:t>
      </w:r>
      <w:r>
        <w:rPr>
          <w:rFonts w:hint="eastAsia"/>
          <w:color w:val="auto"/>
        </w:rPr>
        <w:t>万元的奖励；</w:t>
      </w:r>
    </w:p>
    <w:p>
      <w:pPr>
        <w:spacing w:line="560" w:lineRule="exact"/>
        <w:ind w:firstLine="640" w:firstLineChars="200"/>
        <w:rPr>
          <w:color w:val="auto"/>
        </w:rPr>
      </w:pPr>
      <w:r>
        <w:rPr>
          <w:rFonts w:hint="eastAsia"/>
          <w:color w:val="auto"/>
        </w:rPr>
        <w:t>（</w:t>
      </w:r>
      <w:r>
        <w:rPr>
          <w:color w:val="auto"/>
        </w:rPr>
        <w:t>3</w:t>
      </w:r>
      <w:r>
        <w:rPr>
          <w:rFonts w:hint="eastAsia"/>
          <w:color w:val="auto"/>
        </w:rPr>
        <w:t>）年度总营业收入首次超过</w:t>
      </w:r>
      <w:r>
        <w:rPr>
          <w:color w:val="auto"/>
        </w:rPr>
        <w:t>200</w:t>
      </w:r>
      <w:r>
        <w:rPr>
          <w:rFonts w:hint="eastAsia"/>
          <w:color w:val="auto"/>
        </w:rPr>
        <w:t>亿元(含</w:t>
      </w:r>
      <w:r>
        <w:rPr>
          <w:color w:val="auto"/>
        </w:rPr>
        <w:t>)</w:t>
      </w:r>
      <w:r>
        <w:rPr>
          <w:rFonts w:hint="eastAsia"/>
          <w:color w:val="auto"/>
        </w:rPr>
        <w:t>，给予</w:t>
      </w:r>
      <w:r>
        <w:rPr>
          <w:color w:val="auto"/>
        </w:rPr>
        <w:t>20</w:t>
      </w:r>
      <w:r>
        <w:rPr>
          <w:rFonts w:hint="eastAsia"/>
          <w:color w:val="auto"/>
        </w:rPr>
        <w:t>万元的奖励；</w:t>
      </w:r>
    </w:p>
    <w:p>
      <w:pPr>
        <w:spacing w:line="560" w:lineRule="exact"/>
        <w:ind w:firstLine="640" w:firstLineChars="200"/>
        <w:rPr>
          <w:color w:val="auto"/>
        </w:rPr>
      </w:pPr>
      <w:r>
        <w:rPr>
          <w:rFonts w:hint="eastAsia"/>
          <w:color w:val="auto"/>
        </w:rPr>
        <w:t>（</w:t>
      </w:r>
      <w:r>
        <w:rPr>
          <w:color w:val="auto"/>
        </w:rPr>
        <w:t>4</w:t>
      </w:r>
      <w:r>
        <w:rPr>
          <w:rFonts w:hint="eastAsia"/>
          <w:color w:val="auto"/>
        </w:rPr>
        <w:t>）年度总营业收入首次超过</w:t>
      </w:r>
      <w:r>
        <w:rPr>
          <w:color w:val="auto"/>
        </w:rPr>
        <w:t>500</w:t>
      </w:r>
      <w:r>
        <w:rPr>
          <w:rFonts w:hint="eastAsia"/>
          <w:color w:val="auto"/>
        </w:rPr>
        <w:t>亿元(含</w:t>
      </w:r>
      <w:r>
        <w:rPr>
          <w:color w:val="auto"/>
        </w:rPr>
        <w:t>)</w:t>
      </w:r>
      <w:r>
        <w:rPr>
          <w:rFonts w:hint="eastAsia"/>
          <w:color w:val="auto"/>
        </w:rPr>
        <w:t>，给予5</w:t>
      </w:r>
      <w:r>
        <w:rPr>
          <w:color w:val="auto"/>
        </w:rPr>
        <w:t>0</w:t>
      </w:r>
      <w:r>
        <w:rPr>
          <w:rFonts w:hint="eastAsia"/>
          <w:color w:val="auto"/>
        </w:rPr>
        <w:t>万元的奖励；</w:t>
      </w:r>
    </w:p>
    <w:p>
      <w:pPr>
        <w:spacing w:line="560" w:lineRule="exact"/>
        <w:ind w:firstLine="640" w:firstLineChars="200"/>
        <w:rPr>
          <w:color w:val="auto"/>
        </w:rPr>
      </w:pPr>
      <w:r>
        <w:rPr>
          <w:rFonts w:hint="eastAsia"/>
          <w:color w:val="auto"/>
        </w:rPr>
        <w:t>（5）年度总营业收入首次超过</w:t>
      </w:r>
      <w:r>
        <w:rPr>
          <w:color w:val="auto"/>
        </w:rPr>
        <w:t>1000</w:t>
      </w:r>
      <w:r>
        <w:rPr>
          <w:rFonts w:hint="eastAsia"/>
          <w:color w:val="auto"/>
        </w:rPr>
        <w:t>亿元(含</w:t>
      </w:r>
      <w:r>
        <w:rPr>
          <w:color w:val="auto"/>
        </w:rPr>
        <w:t>)</w:t>
      </w:r>
      <w:r>
        <w:rPr>
          <w:rFonts w:hint="eastAsia"/>
          <w:color w:val="auto"/>
        </w:rPr>
        <w:t>，给予</w:t>
      </w:r>
      <w:r>
        <w:rPr>
          <w:color w:val="auto"/>
        </w:rPr>
        <w:t>100</w:t>
      </w:r>
      <w:r>
        <w:rPr>
          <w:rFonts w:hint="eastAsia"/>
          <w:color w:val="auto"/>
        </w:rPr>
        <w:t>万元的奖励；</w:t>
      </w:r>
    </w:p>
    <w:p>
      <w:pPr>
        <w:spacing w:line="560" w:lineRule="exact"/>
        <w:ind w:firstLine="640" w:firstLineChars="200"/>
        <w:rPr>
          <w:color w:val="auto"/>
        </w:rPr>
      </w:pPr>
      <w:r>
        <w:rPr>
          <w:rFonts w:hint="eastAsia"/>
          <w:color w:val="auto"/>
        </w:rPr>
        <w:t>（</w:t>
      </w:r>
      <w:r>
        <w:rPr>
          <w:color w:val="auto"/>
        </w:rPr>
        <w:t>6</w:t>
      </w:r>
      <w:r>
        <w:rPr>
          <w:rFonts w:hint="eastAsia"/>
          <w:color w:val="auto"/>
        </w:rPr>
        <w:t>）达到下一级奖励台阶后，给予差额部分奖励。</w:t>
      </w:r>
    </w:p>
    <w:p>
      <w:pPr>
        <w:spacing w:line="560" w:lineRule="exact"/>
        <w:ind w:left="640" w:leftChars="200"/>
        <w:rPr>
          <w:color w:val="auto"/>
        </w:rPr>
      </w:pPr>
      <w:r>
        <w:rPr>
          <w:color w:val="auto"/>
        </w:rPr>
        <w:t xml:space="preserve">5. </w:t>
      </w:r>
      <w:r>
        <w:rPr>
          <w:rFonts w:hint="eastAsia"/>
          <w:color w:val="auto"/>
        </w:rPr>
        <w:t>申请资料</w:t>
      </w:r>
    </w:p>
    <w:p>
      <w:pPr>
        <w:spacing w:line="560" w:lineRule="exact"/>
        <w:ind w:firstLine="640" w:firstLineChars="200"/>
        <w:rPr>
          <w:color w:val="auto"/>
        </w:rPr>
      </w:pPr>
      <w:r>
        <w:rPr>
          <w:rFonts w:hint="eastAsia"/>
          <w:color w:val="auto"/>
        </w:rPr>
        <w:t>（1）《秀英区楼宇经济发展专项资金申请表》；</w:t>
      </w:r>
    </w:p>
    <w:p>
      <w:pPr>
        <w:spacing w:line="560" w:lineRule="exact"/>
        <w:ind w:firstLine="640" w:firstLineChars="200"/>
        <w:rPr>
          <w:color w:val="auto"/>
        </w:rPr>
      </w:pPr>
      <w:r>
        <w:rPr>
          <w:rFonts w:hint="eastAsia"/>
          <w:color w:val="auto"/>
        </w:rPr>
        <w:t>（</w:t>
      </w:r>
      <w:r>
        <w:rPr>
          <w:color w:val="auto"/>
        </w:rPr>
        <w:t>2</w:t>
      </w:r>
      <w:r>
        <w:rPr>
          <w:rFonts w:hint="eastAsia"/>
          <w:color w:val="auto"/>
        </w:rPr>
        <w:t>）《秀英区商务楼宇入驻企业营收信息表》；</w:t>
      </w:r>
      <w:r>
        <w:rPr>
          <w:color w:val="auto"/>
        </w:rPr>
        <w:t xml:space="preserve"> </w:t>
      </w:r>
    </w:p>
    <w:p>
      <w:pPr>
        <w:spacing w:line="560" w:lineRule="exact"/>
        <w:ind w:firstLine="640" w:firstLineChars="200"/>
        <w:rPr>
          <w:color w:val="auto"/>
        </w:rPr>
      </w:pPr>
      <w:r>
        <w:rPr>
          <w:rFonts w:hint="eastAsia"/>
          <w:color w:val="auto"/>
        </w:rPr>
        <w:t>（3）申报主体的统一社会信用代码营业执照复印件、法定代表人身份证复印件、项目经办人身份证复印件、法定代表人授权委托证明书、法定代表人身份证明书；</w:t>
      </w:r>
    </w:p>
    <w:p>
      <w:pPr>
        <w:spacing w:line="560" w:lineRule="exact"/>
        <w:ind w:firstLine="640" w:firstLineChars="200"/>
        <w:rPr>
          <w:color w:val="auto"/>
        </w:rPr>
      </w:pPr>
      <w:r>
        <w:rPr>
          <w:rFonts w:hint="eastAsia"/>
          <w:color w:val="auto"/>
        </w:rPr>
        <w:t>（4）</w:t>
      </w:r>
      <w:r>
        <w:rPr>
          <w:rFonts w:hint="eastAsia"/>
          <w:color w:val="auto"/>
          <w:lang w:val="zh-CN"/>
        </w:rPr>
        <w:t>中国政府采购网政府采购严重违法失信行为信息记录查询，信用中国网失信被执行人查询、信用中国网重大税收违法失信主体查询，无重大事故违法记录的声明；</w:t>
      </w:r>
    </w:p>
    <w:p>
      <w:pPr>
        <w:spacing w:line="560" w:lineRule="exact"/>
        <w:ind w:firstLine="640" w:firstLineChars="200"/>
        <w:rPr>
          <w:color w:val="auto"/>
        </w:rPr>
      </w:pPr>
      <w:r>
        <w:rPr>
          <w:rFonts w:hint="eastAsia"/>
          <w:color w:val="auto"/>
        </w:rPr>
        <w:t>（5）其他需要提供的资料。</w:t>
      </w:r>
    </w:p>
    <w:p>
      <w:pPr>
        <w:pStyle w:val="28"/>
        <w:spacing w:line="560" w:lineRule="exact"/>
        <w:outlineLvl w:val="0"/>
        <w:rPr>
          <w:rFonts w:ascii="Times New Roman" w:hAnsi="Times New Roman"/>
          <w:color w:val="auto"/>
        </w:rPr>
      </w:pPr>
      <w:bookmarkStart w:id="44" w:name="_Toc163392950"/>
      <w:r>
        <w:rPr>
          <w:rFonts w:hint="eastAsia" w:ascii="Times New Roman" w:hAnsi="Times New Roman"/>
          <w:color w:val="auto"/>
        </w:rPr>
        <w:t>五、其他事项</w:t>
      </w:r>
      <w:bookmarkEnd w:id="44"/>
    </w:p>
    <w:p>
      <w:pPr>
        <w:spacing w:line="560" w:lineRule="exact"/>
        <w:ind w:firstLine="640" w:firstLineChars="200"/>
        <w:rPr>
          <w:color w:val="auto"/>
        </w:rPr>
      </w:pPr>
      <w:r>
        <w:rPr>
          <w:color w:val="auto"/>
        </w:rPr>
        <w:t xml:space="preserve">1. </w:t>
      </w:r>
      <w:r>
        <w:rPr>
          <w:rFonts w:hint="eastAsia"/>
          <w:color w:val="auto"/>
        </w:rPr>
        <w:t>所有申报材料一式三份并盖章。</w:t>
      </w:r>
    </w:p>
    <w:p>
      <w:pPr>
        <w:spacing w:line="560" w:lineRule="exact"/>
        <w:ind w:firstLine="640" w:firstLineChars="200"/>
        <w:rPr>
          <w:color w:val="auto"/>
        </w:rPr>
      </w:pPr>
      <w:r>
        <w:rPr>
          <w:color w:val="auto"/>
        </w:rPr>
        <w:t>2.</w:t>
      </w:r>
      <w:r>
        <w:rPr>
          <w:rFonts w:hint="eastAsia"/>
          <w:color w:val="auto"/>
        </w:rPr>
        <w:t xml:space="preserve"> 本申报指南于202</w:t>
      </w:r>
      <w:r>
        <w:rPr>
          <w:color w:val="auto"/>
        </w:rPr>
        <w:t>4</w:t>
      </w:r>
      <w:r>
        <w:rPr>
          <w:rFonts w:hint="eastAsia"/>
          <w:color w:val="auto"/>
        </w:rPr>
        <w:t>年</w:t>
      </w:r>
      <w:r>
        <w:rPr>
          <w:color w:val="auto"/>
        </w:rPr>
        <w:t>2月19日</w:t>
      </w:r>
      <w:r>
        <w:rPr>
          <w:rFonts w:hint="eastAsia"/>
          <w:color w:val="auto"/>
        </w:rPr>
        <w:t>开始实施，由区商务局负责解释。</w:t>
      </w:r>
    </w:p>
    <w:p>
      <w:pPr>
        <w:spacing w:line="560" w:lineRule="exact"/>
        <w:ind w:firstLine="640" w:firstLineChars="200"/>
        <w:rPr>
          <w:color w:val="auto"/>
        </w:rPr>
      </w:pPr>
      <w:r>
        <w:rPr>
          <w:color w:val="auto"/>
        </w:rPr>
        <w:t xml:space="preserve">3. </w:t>
      </w:r>
      <w:r>
        <w:rPr>
          <w:rFonts w:hint="eastAsia"/>
          <w:color w:val="auto"/>
        </w:rPr>
        <w:t>文件术语解释及相关计算公式说明：</w:t>
      </w:r>
    </w:p>
    <w:p>
      <w:pPr>
        <w:spacing w:line="600" w:lineRule="exact"/>
        <w:ind w:firstLine="640" w:firstLineChars="200"/>
        <w:rPr>
          <w:rFonts w:ascii="仿宋_GB2312" w:hAnsi="仿宋_GB2312"/>
          <w:color w:val="auto"/>
        </w:rPr>
      </w:pPr>
      <w:r>
        <w:rPr>
          <w:rFonts w:hint="eastAsia"/>
          <w:color w:val="auto"/>
        </w:rPr>
        <w:t>（1）</w:t>
      </w:r>
      <w:r>
        <w:rPr>
          <w:rFonts w:hint="eastAsia" w:ascii="仿宋_GB2312" w:hAnsi="仿宋_GB2312"/>
          <w:color w:val="auto"/>
        </w:rPr>
        <w:t>鼓励类产业：指符合《海南自由贸易港鼓励类产业目录》的项目，包括金融、旅游、总部、数字经济、现代服务等体现秀英区产业发展特色，符合秀英区经济社会发展定位的项目（财政性资金或政府投入类项目、融资代建类项目、BOT、PPP 等模式项目、捐赠项目、市政基础设施建设项目、土地综合开发以及房地产项目不在本办法奖励范围内）。</w:t>
      </w:r>
    </w:p>
    <w:p>
      <w:pPr>
        <w:spacing w:line="560" w:lineRule="exact"/>
        <w:ind w:firstLine="640" w:firstLineChars="200"/>
        <w:rPr>
          <w:color w:val="auto"/>
        </w:rPr>
      </w:pPr>
      <w:r>
        <w:rPr>
          <w:rFonts w:hint="eastAsia"/>
          <w:color w:val="auto"/>
        </w:rPr>
        <w:t>（</w:t>
      </w:r>
      <w:r>
        <w:rPr>
          <w:color w:val="auto"/>
        </w:rPr>
        <w:t>2</w:t>
      </w:r>
      <w:r>
        <w:rPr>
          <w:rFonts w:hint="eastAsia"/>
          <w:color w:val="auto"/>
        </w:rPr>
        <w:t>）楼宇开发企业：即楼宇开发企业、投资商。</w:t>
      </w:r>
    </w:p>
    <w:p>
      <w:pPr>
        <w:spacing w:line="560" w:lineRule="exact"/>
        <w:ind w:firstLine="640" w:firstLineChars="200"/>
        <w:rPr>
          <w:color w:val="auto"/>
        </w:rPr>
      </w:pPr>
      <w:r>
        <w:rPr>
          <w:rFonts w:hint="eastAsia"/>
          <w:color w:val="auto"/>
        </w:rPr>
        <w:t>（</w:t>
      </w:r>
      <w:r>
        <w:rPr>
          <w:color w:val="auto"/>
        </w:rPr>
        <w:t>3</w:t>
      </w:r>
      <w:r>
        <w:rPr>
          <w:rFonts w:hint="eastAsia"/>
          <w:color w:val="auto"/>
        </w:rPr>
        <w:t>）楼宇业主：指单一业权或50%以上楼宇产权持有者。</w:t>
      </w:r>
    </w:p>
    <w:p>
      <w:pPr>
        <w:spacing w:line="560" w:lineRule="exact"/>
        <w:ind w:firstLine="640" w:firstLineChars="200"/>
        <w:rPr>
          <w:color w:val="auto"/>
        </w:rPr>
      </w:pPr>
      <w:r>
        <w:rPr>
          <w:rFonts w:hint="eastAsia"/>
          <w:color w:val="auto"/>
        </w:rPr>
        <w:t>（</w:t>
      </w:r>
      <w:r>
        <w:rPr>
          <w:color w:val="auto"/>
        </w:rPr>
        <w:t>4</w:t>
      </w:r>
      <w:r>
        <w:rPr>
          <w:rFonts w:hint="eastAsia"/>
          <w:color w:val="auto"/>
        </w:rPr>
        <w:t>）楼宇运营企业：指对楼宇进行统一运营，实际从事招商、软硬件及配套设施改造升级、管理等的企业。</w:t>
      </w:r>
    </w:p>
    <w:p>
      <w:pPr>
        <w:spacing w:line="560" w:lineRule="exact"/>
        <w:ind w:firstLine="640" w:firstLineChars="200"/>
        <w:rPr>
          <w:color w:val="auto"/>
        </w:rPr>
      </w:pPr>
      <w:r>
        <w:rPr>
          <w:rFonts w:hint="eastAsia"/>
          <w:color w:val="auto"/>
        </w:rPr>
        <w:t>（</w:t>
      </w:r>
      <w:r>
        <w:rPr>
          <w:color w:val="auto"/>
        </w:rPr>
        <w:t>5</w:t>
      </w:r>
      <w:r>
        <w:rPr>
          <w:rFonts w:hint="eastAsia"/>
          <w:color w:val="auto"/>
        </w:rPr>
        <w:t>）物业管理企业：楼宇交付使用后实施物业管理服务的企业，非楼宇建设前期物业管理顾问。</w:t>
      </w:r>
    </w:p>
    <w:p>
      <w:pPr>
        <w:spacing w:line="600" w:lineRule="exact"/>
        <w:ind w:firstLine="640" w:firstLineChars="200"/>
        <w:rPr>
          <w:color w:val="auto"/>
        </w:rPr>
      </w:pPr>
      <w:r>
        <w:rPr>
          <w:rFonts w:hint="eastAsia"/>
          <w:color w:val="auto"/>
        </w:rPr>
        <w:t>（</w:t>
      </w:r>
      <w:r>
        <w:rPr>
          <w:color w:val="auto"/>
        </w:rPr>
        <w:t>6</w:t>
      </w:r>
      <w:r>
        <w:rPr>
          <w:rFonts w:hint="eastAsia"/>
          <w:color w:val="auto"/>
        </w:rPr>
        <w:t>）楼宇配套设施用房：项目规划用地红线范围内的公用设施(电梯、供电、供水、排污、燃气、通信等各种管线与设施)、公共服务设施（环卫、设备用房、物业用房、社区用房、停车场、公示栏等)、安全设施(消防、避难层、防雷、安保设施、智能系统、大门、值班室、治安室、围墙等)及人防车位、架空层建筑物、道路、绿化等。</w:t>
      </w:r>
    </w:p>
    <w:p>
      <w:pPr>
        <w:spacing w:line="600" w:lineRule="exact"/>
        <w:ind w:firstLine="640" w:firstLineChars="200"/>
        <w:rPr>
          <w:rFonts w:ascii="仿宋_GB2312" w:hAnsi="仿宋_GB2312"/>
          <w:color w:val="auto"/>
        </w:rPr>
      </w:pPr>
      <w:r>
        <w:rPr>
          <w:rFonts w:hint="eastAsia"/>
          <w:color w:val="auto"/>
        </w:rPr>
        <w:t>（</w:t>
      </w:r>
      <w:r>
        <w:rPr>
          <w:color w:val="auto"/>
        </w:rPr>
        <w:t>7</w:t>
      </w:r>
      <w:r>
        <w:rPr>
          <w:rFonts w:hint="eastAsia"/>
          <w:color w:val="auto"/>
        </w:rPr>
        <w:t>）</w:t>
      </w:r>
      <w:r>
        <w:rPr>
          <w:rFonts w:hint="eastAsia" w:ascii="仿宋_GB2312" w:hAnsi="仿宋_GB2312"/>
          <w:color w:val="auto"/>
        </w:rPr>
        <w:t>首次入驻企业、新引进企业：是指本政策实施之日起</w:t>
      </w:r>
      <w:r>
        <w:rPr>
          <w:rFonts w:hint="eastAsia"/>
          <w:color w:val="auto"/>
        </w:rPr>
        <w:t>将注册地址迁入秀英区或在秀英区新注册</w:t>
      </w:r>
      <w:r>
        <w:rPr>
          <w:rFonts w:hint="eastAsia" w:ascii="仿宋_GB2312" w:hAnsi="仿宋_GB2312"/>
          <w:color w:val="auto"/>
        </w:rPr>
        <w:t>的企业。</w:t>
      </w:r>
    </w:p>
    <w:p>
      <w:pPr>
        <w:spacing w:line="600" w:lineRule="exact"/>
        <w:ind w:firstLine="640" w:firstLineChars="200"/>
        <w:rPr>
          <w:rFonts w:ascii="仿宋_GB2312" w:hAnsi="仿宋_GB2312"/>
          <w:color w:val="auto"/>
        </w:rPr>
      </w:pPr>
      <w:r>
        <w:rPr>
          <w:rFonts w:hint="eastAsia"/>
          <w:color w:val="auto"/>
        </w:rPr>
        <w:t>（</w:t>
      </w:r>
      <w:r>
        <w:rPr>
          <w:color w:val="auto"/>
        </w:rPr>
        <w:t>8</w:t>
      </w:r>
      <w:r>
        <w:rPr>
          <w:rFonts w:hint="eastAsia"/>
          <w:color w:val="auto"/>
        </w:rPr>
        <w:t>）</w:t>
      </w:r>
      <w:r>
        <w:rPr>
          <w:rFonts w:hint="eastAsia" w:ascii="仿宋_GB2312" w:hAnsi="仿宋_GB2312"/>
          <w:color w:val="auto"/>
        </w:rPr>
        <w:t>世界</w:t>
      </w:r>
      <w:r>
        <w:rPr>
          <w:rFonts w:hint="eastAsia"/>
          <w:color w:val="auto"/>
        </w:rPr>
        <w:t>500</w:t>
      </w:r>
      <w:r>
        <w:rPr>
          <w:rFonts w:hint="eastAsia" w:ascii="仿宋_GB2312" w:hAnsi="仿宋_GB2312"/>
          <w:color w:val="auto"/>
        </w:rPr>
        <w:t>强企业：按申请年度《财富》杂志公布的世界</w:t>
      </w:r>
      <w:r>
        <w:rPr>
          <w:rFonts w:hint="eastAsia"/>
          <w:color w:val="auto"/>
        </w:rPr>
        <w:t>500</w:t>
      </w:r>
      <w:r>
        <w:rPr>
          <w:rFonts w:hint="eastAsia" w:ascii="仿宋_GB2312" w:hAnsi="仿宋_GB2312"/>
          <w:color w:val="auto"/>
        </w:rPr>
        <w:t>强排行榜的企业为准；中国</w:t>
      </w:r>
      <w:r>
        <w:rPr>
          <w:rFonts w:hint="eastAsia"/>
          <w:color w:val="auto"/>
        </w:rPr>
        <w:t>500</w:t>
      </w:r>
      <w:r>
        <w:rPr>
          <w:rFonts w:hint="eastAsia" w:ascii="仿宋_GB2312" w:hAnsi="仿宋_GB2312"/>
          <w:color w:val="auto"/>
        </w:rPr>
        <w:t>强企业按申请年度中国企业联合会、中国企业家协会向社会公布的中国企业</w:t>
      </w:r>
      <w:r>
        <w:rPr>
          <w:rFonts w:hint="eastAsia"/>
          <w:color w:val="auto"/>
        </w:rPr>
        <w:t>500</w:t>
      </w:r>
      <w:r>
        <w:rPr>
          <w:rFonts w:hint="eastAsia" w:ascii="仿宋_GB2312" w:hAnsi="仿宋_GB2312"/>
          <w:color w:val="auto"/>
        </w:rPr>
        <w:t>强排行榜的企业为准；民营</w:t>
      </w:r>
      <w:r>
        <w:rPr>
          <w:rFonts w:hint="eastAsia"/>
          <w:color w:val="auto"/>
        </w:rPr>
        <w:t>500</w:t>
      </w:r>
      <w:r>
        <w:rPr>
          <w:rFonts w:hint="eastAsia" w:ascii="仿宋_GB2312" w:hAnsi="仿宋_GB2312"/>
          <w:color w:val="auto"/>
        </w:rPr>
        <w:t>强企业按申请年度全国工商联向社会公布的中国民营企业</w:t>
      </w:r>
      <w:r>
        <w:rPr>
          <w:rFonts w:hint="eastAsia"/>
          <w:color w:val="auto"/>
        </w:rPr>
        <w:t>500</w:t>
      </w:r>
      <w:r>
        <w:rPr>
          <w:rFonts w:hint="eastAsia" w:ascii="仿宋_GB2312" w:hAnsi="仿宋_GB2312"/>
          <w:color w:val="auto"/>
        </w:rPr>
        <w:t>强排行榜的企业为准。</w:t>
      </w:r>
    </w:p>
    <w:p>
      <w:pPr>
        <w:spacing w:line="560" w:lineRule="exact"/>
        <w:ind w:firstLine="640" w:firstLineChars="200"/>
        <w:rPr>
          <w:color w:val="auto"/>
        </w:rPr>
      </w:pPr>
      <w:r>
        <w:rPr>
          <w:rFonts w:hint="eastAsia"/>
          <w:color w:val="auto"/>
        </w:rPr>
        <w:t>（9）商务楼宇产权自持比例：（楼宇办公部分的产权总面积-产权转移部分面积）/楼宇办公部分的产权总面积*100%。</w:t>
      </w:r>
    </w:p>
    <w:p>
      <w:pPr>
        <w:spacing w:line="560" w:lineRule="exact"/>
        <w:ind w:firstLine="640" w:firstLineChars="200"/>
        <w:rPr>
          <w:color w:val="auto"/>
        </w:rPr>
      </w:pPr>
      <w:r>
        <w:rPr>
          <w:rFonts w:hint="eastAsia"/>
          <w:color w:val="auto"/>
        </w:rPr>
        <w:t>（10）商务楼宇入驻率：实际入驻经营的办公面积/楼宇可租赁办公面积*100%。</w:t>
      </w:r>
    </w:p>
    <w:p>
      <w:pPr>
        <w:spacing w:line="560" w:lineRule="exact"/>
        <w:ind w:firstLine="640" w:firstLineChars="200"/>
        <w:rPr>
          <w:color w:val="auto"/>
        </w:rPr>
      </w:pPr>
      <w:r>
        <w:rPr>
          <w:rFonts w:hint="eastAsia"/>
          <w:color w:val="auto"/>
        </w:rPr>
        <w:t>（</w:t>
      </w:r>
      <w:r>
        <w:rPr>
          <w:color w:val="auto"/>
        </w:rPr>
        <w:t>1</w:t>
      </w:r>
      <w:r>
        <w:rPr>
          <w:rFonts w:hint="eastAsia"/>
          <w:color w:val="auto"/>
        </w:rPr>
        <w:t>1）商务楼宇属地注册率：实际入驻经营企业注册地址位于本楼宇的企业数量/实际入驻经营办公的企业总数量*100%。</w:t>
      </w:r>
    </w:p>
    <w:p>
      <w:pPr>
        <w:spacing w:line="560" w:lineRule="exact"/>
        <w:ind w:firstLine="640" w:firstLineChars="200"/>
        <w:rPr>
          <w:color w:val="auto"/>
        </w:rPr>
      </w:pPr>
      <w:r>
        <w:rPr>
          <w:rFonts w:hint="eastAsia"/>
          <w:color w:val="auto"/>
        </w:rPr>
        <w:t>（</w:t>
      </w:r>
      <w:r>
        <w:rPr>
          <w:color w:val="auto"/>
        </w:rPr>
        <w:t>1</w:t>
      </w:r>
      <w:r>
        <w:rPr>
          <w:rFonts w:hint="eastAsia"/>
          <w:color w:val="auto"/>
        </w:rPr>
        <w:t>2）产业集聚度：指楼宇内从事同一主要产业链产业及与之关联的配套产业的企业上一年主营业务收入总额占楼宇内所有企业上年度主营业务收入的比重。</w:t>
      </w:r>
    </w:p>
    <w:p>
      <w:pPr>
        <w:spacing w:line="560" w:lineRule="exact"/>
        <w:ind w:firstLine="640" w:firstLineChars="200"/>
        <w:rPr>
          <w:color w:val="auto"/>
        </w:rPr>
      </w:pPr>
      <w:r>
        <w:rPr>
          <w:color w:val="auto"/>
        </w:rPr>
        <w:t xml:space="preserve">4. </w:t>
      </w:r>
      <w:r>
        <w:rPr>
          <w:rFonts w:hint="eastAsia"/>
          <w:color w:val="auto"/>
        </w:rPr>
        <w:t>附件：</w:t>
      </w:r>
    </w:p>
    <w:p>
      <w:pPr>
        <w:spacing w:line="560" w:lineRule="exact"/>
        <w:ind w:firstLine="640" w:firstLineChars="200"/>
        <w:rPr>
          <w:color w:val="auto"/>
        </w:rPr>
      </w:pPr>
      <w:r>
        <w:rPr>
          <w:rFonts w:hint="eastAsia"/>
          <w:color w:val="auto"/>
        </w:rPr>
        <w:t>表一：《秀英区楼宇经济政策适用楼宇认定申报表》</w:t>
      </w:r>
    </w:p>
    <w:p>
      <w:pPr>
        <w:spacing w:line="560" w:lineRule="exact"/>
        <w:ind w:firstLine="640" w:firstLineChars="200"/>
        <w:rPr>
          <w:color w:val="auto"/>
        </w:rPr>
      </w:pPr>
      <w:r>
        <w:rPr>
          <w:rFonts w:hint="eastAsia"/>
          <w:color w:val="auto"/>
        </w:rPr>
        <w:t>表二：《秀英区楼宇经济政策年度备案登记表》</w:t>
      </w:r>
    </w:p>
    <w:p>
      <w:pPr>
        <w:spacing w:line="560" w:lineRule="exact"/>
        <w:ind w:firstLine="640" w:firstLineChars="200"/>
        <w:rPr>
          <w:color w:val="auto"/>
        </w:rPr>
      </w:pPr>
      <w:r>
        <w:rPr>
          <w:rFonts w:hint="eastAsia"/>
          <w:color w:val="auto"/>
        </w:rPr>
        <w:t>表三：《秀英区楼宇经济政策发展专项资金申请表》</w:t>
      </w:r>
    </w:p>
    <w:p>
      <w:pPr>
        <w:spacing w:line="560" w:lineRule="exact"/>
        <w:ind w:firstLine="640" w:firstLineChars="200"/>
        <w:rPr>
          <w:color w:val="auto"/>
        </w:rPr>
      </w:pPr>
      <w:r>
        <w:rPr>
          <w:rFonts w:hint="eastAsia"/>
          <w:color w:val="auto"/>
        </w:rPr>
        <w:t>表四：《秀英区商务楼宇入驻企业营收信息表》</w:t>
      </w:r>
    </w:p>
    <w:p>
      <w:pPr>
        <w:spacing w:line="560" w:lineRule="exact"/>
        <w:ind w:firstLine="640" w:firstLineChars="200"/>
        <w:rPr>
          <w:color w:val="auto"/>
        </w:rPr>
      </w:pPr>
      <w:r>
        <w:rPr>
          <w:rFonts w:hint="eastAsia"/>
          <w:color w:val="auto"/>
        </w:rPr>
        <w:t>表五：《申请秀英区楼宇经济政策发展专项资金承诺书(两年)》</w:t>
      </w:r>
    </w:p>
    <w:p>
      <w:pPr>
        <w:spacing w:line="560" w:lineRule="exact"/>
        <w:ind w:firstLine="640" w:firstLineChars="200"/>
        <w:rPr>
          <w:color w:val="auto"/>
        </w:rPr>
      </w:pPr>
      <w:r>
        <w:rPr>
          <w:rFonts w:hint="eastAsia"/>
          <w:color w:val="auto"/>
        </w:rPr>
        <w:t>表六：《秀英区自持物业五年内不分割出售承诺书-统一运营》</w:t>
      </w:r>
    </w:p>
    <w:p>
      <w:pPr>
        <w:spacing w:line="560" w:lineRule="exact"/>
        <w:ind w:firstLine="640" w:firstLineChars="200"/>
        <w:rPr>
          <w:color w:val="auto"/>
        </w:rPr>
      </w:pPr>
      <w:r>
        <w:rPr>
          <w:rFonts w:hint="eastAsia"/>
          <w:color w:val="auto"/>
        </w:rPr>
        <w:t>表七：《秀英区自持物业五年内不分割出售承诺书-竣工》</w:t>
      </w:r>
    </w:p>
    <w:p>
      <w:pPr>
        <w:spacing w:line="560" w:lineRule="exact"/>
        <w:ind w:left="640" w:leftChars="200"/>
        <w:rPr>
          <w:color w:val="auto"/>
        </w:rPr>
      </w:pPr>
      <w:r>
        <w:rPr>
          <w:rFonts w:hint="eastAsia"/>
          <w:color w:val="auto"/>
        </w:rPr>
        <w:t>表八：《秀英区整合商务楼宇统一运营承诺》</w:t>
      </w:r>
      <w:bookmarkEnd w:id="0"/>
      <w:r>
        <w:rPr>
          <w:color w:val="auto"/>
        </w:rPr>
        <w:br w:type="textWrapping"/>
      </w:r>
      <w:r>
        <w:rPr>
          <w:rFonts w:hint="eastAsia"/>
          <w:color w:val="auto"/>
        </w:rPr>
        <w:t>表九：《</w:t>
      </w:r>
      <w:bookmarkStart w:id="45" w:name="_Hlk156487781"/>
      <w:r>
        <w:rPr>
          <w:rFonts w:hint="eastAsia"/>
          <w:color w:val="auto"/>
        </w:rPr>
        <w:t>企业实质性经营证明文件</w:t>
      </w:r>
      <w:bookmarkEnd w:id="45"/>
      <w:r>
        <w:rPr>
          <w:rFonts w:hint="eastAsia"/>
          <w:color w:val="auto"/>
        </w:rPr>
        <w:t>（楼宇方）-样本》</w:t>
      </w:r>
    </w:p>
    <w:p>
      <w:pPr>
        <w:spacing w:line="560" w:lineRule="exact"/>
        <w:ind w:firstLine="640" w:firstLineChars="200"/>
        <w:rPr>
          <w:color w:val="auto"/>
        </w:rPr>
      </w:pPr>
      <w:r>
        <w:rPr>
          <w:rFonts w:hint="eastAsia"/>
          <w:color w:val="auto"/>
        </w:rPr>
        <w:t>表十：《申请秀英区楼宇经济政策发展专项资金承诺书(总部楼宇与特色产业楼宇)》</w:t>
      </w:r>
    </w:p>
    <w:sectPr>
      <w:footerReference r:id="rId3" w:type="default"/>
      <w:pgSz w:w="11906" w:h="16838"/>
      <w:pgMar w:top="2098" w:right="1871" w:bottom="1985" w:left="187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GB2312">
    <w:altName w:val="宋体"/>
    <w:panose1 w:val="00000000000000000000"/>
    <w:charset w:val="86"/>
    <w:family w:val="roman"/>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5295450"/>
    </w:sdtPr>
    <w:sdtEndPr>
      <w:rPr>
        <w:rFonts w:cs="Times New Roman"/>
        <w:sz w:val="24"/>
        <w:szCs w:val="24"/>
        <w:lang w:val="zh-CN"/>
      </w:rPr>
    </w:sdtEndPr>
    <w:sdtContent>
      <w:p>
        <w:pPr>
          <w:pStyle w:val="7"/>
          <w:jc w:val="center"/>
          <w:rPr>
            <w:rFonts w:cs="Times New Roman"/>
            <w:sz w:val="24"/>
            <w:szCs w:val="24"/>
            <w:lang w:val="zh-CN"/>
          </w:rPr>
        </w:pPr>
        <w:r>
          <w:rPr>
            <w:rFonts w:cs="Times New Roman"/>
            <w:sz w:val="24"/>
            <w:szCs w:val="24"/>
            <w:lang w:val="zh-CN"/>
          </w:rPr>
          <w:fldChar w:fldCharType="begin"/>
        </w:r>
        <w:r>
          <w:rPr>
            <w:rFonts w:cs="Times New Roman"/>
            <w:sz w:val="24"/>
            <w:szCs w:val="24"/>
            <w:lang w:val="zh-CN"/>
          </w:rPr>
          <w:instrText xml:space="preserve">PAGE   \* MERGEFORMAT</w:instrText>
        </w:r>
        <w:r>
          <w:rPr>
            <w:rFonts w:cs="Times New Roman"/>
            <w:sz w:val="24"/>
            <w:szCs w:val="24"/>
            <w:lang w:val="zh-CN"/>
          </w:rPr>
          <w:fldChar w:fldCharType="separate"/>
        </w:r>
        <w:r>
          <w:rPr>
            <w:rFonts w:cs="Times New Roman"/>
            <w:sz w:val="24"/>
            <w:szCs w:val="24"/>
            <w:lang w:val="zh-CN"/>
          </w:rPr>
          <w:t>1</w:t>
        </w:r>
        <w:r>
          <w:rPr>
            <w:rFonts w:cs="Times New Roman"/>
            <w:sz w:val="24"/>
            <w:szCs w:val="24"/>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4MjE4OGNjMDBmMDgzYTU1MjczYmRlOGNkNTI3MTgifQ=="/>
  </w:docVars>
  <w:rsids>
    <w:rsidRoot w:val="00172A27"/>
    <w:rsid w:val="00000392"/>
    <w:rsid w:val="00000D1C"/>
    <w:rsid w:val="000013C7"/>
    <w:rsid w:val="00001FD6"/>
    <w:rsid w:val="00003346"/>
    <w:rsid w:val="000033EC"/>
    <w:rsid w:val="0000359F"/>
    <w:rsid w:val="00003EE7"/>
    <w:rsid w:val="00004214"/>
    <w:rsid w:val="00004E17"/>
    <w:rsid w:val="00004F68"/>
    <w:rsid w:val="00004F98"/>
    <w:rsid w:val="00005032"/>
    <w:rsid w:val="00005737"/>
    <w:rsid w:val="000070B8"/>
    <w:rsid w:val="0000749B"/>
    <w:rsid w:val="00007638"/>
    <w:rsid w:val="00007F23"/>
    <w:rsid w:val="00010C90"/>
    <w:rsid w:val="000128C1"/>
    <w:rsid w:val="00012C9A"/>
    <w:rsid w:val="00013611"/>
    <w:rsid w:val="000136F0"/>
    <w:rsid w:val="00014750"/>
    <w:rsid w:val="00014DE2"/>
    <w:rsid w:val="00015B43"/>
    <w:rsid w:val="000161C7"/>
    <w:rsid w:val="00016BF1"/>
    <w:rsid w:val="00020D27"/>
    <w:rsid w:val="00021016"/>
    <w:rsid w:val="00021138"/>
    <w:rsid w:val="00021747"/>
    <w:rsid w:val="00022741"/>
    <w:rsid w:val="000236EE"/>
    <w:rsid w:val="00023B66"/>
    <w:rsid w:val="00025C64"/>
    <w:rsid w:val="00026015"/>
    <w:rsid w:val="00026169"/>
    <w:rsid w:val="000269D9"/>
    <w:rsid w:val="00026F0C"/>
    <w:rsid w:val="000270C5"/>
    <w:rsid w:val="0002733E"/>
    <w:rsid w:val="0002764D"/>
    <w:rsid w:val="000277DD"/>
    <w:rsid w:val="0002797C"/>
    <w:rsid w:val="00027D10"/>
    <w:rsid w:val="00027F9E"/>
    <w:rsid w:val="00030ABD"/>
    <w:rsid w:val="00030EC3"/>
    <w:rsid w:val="00031D6C"/>
    <w:rsid w:val="0003231D"/>
    <w:rsid w:val="000328EB"/>
    <w:rsid w:val="00033577"/>
    <w:rsid w:val="00033C72"/>
    <w:rsid w:val="000344CC"/>
    <w:rsid w:val="000348C1"/>
    <w:rsid w:val="00034A39"/>
    <w:rsid w:val="000354A6"/>
    <w:rsid w:val="00036159"/>
    <w:rsid w:val="00036386"/>
    <w:rsid w:val="00036886"/>
    <w:rsid w:val="000371CD"/>
    <w:rsid w:val="000374BD"/>
    <w:rsid w:val="00040A36"/>
    <w:rsid w:val="00041D4A"/>
    <w:rsid w:val="00042AEA"/>
    <w:rsid w:val="00042D7C"/>
    <w:rsid w:val="00043665"/>
    <w:rsid w:val="00043E65"/>
    <w:rsid w:val="00044FB0"/>
    <w:rsid w:val="00045D36"/>
    <w:rsid w:val="00046574"/>
    <w:rsid w:val="00046771"/>
    <w:rsid w:val="000468E3"/>
    <w:rsid w:val="00047F9A"/>
    <w:rsid w:val="00050147"/>
    <w:rsid w:val="00050249"/>
    <w:rsid w:val="00050255"/>
    <w:rsid w:val="00050B9B"/>
    <w:rsid w:val="00050E84"/>
    <w:rsid w:val="00051348"/>
    <w:rsid w:val="000517FA"/>
    <w:rsid w:val="000522B6"/>
    <w:rsid w:val="0005266E"/>
    <w:rsid w:val="000526A6"/>
    <w:rsid w:val="00053007"/>
    <w:rsid w:val="00053433"/>
    <w:rsid w:val="00053E6F"/>
    <w:rsid w:val="000542C1"/>
    <w:rsid w:val="0005479A"/>
    <w:rsid w:val="00054E2D"/>
    <w:rsid w:val="00054F62"/>
    <w:rsid w:val="000550B2"/>
    <w:rsid w:val="00056121"/>
    <w:rsid w:val="000561C3"/>
    <w:rsid w:val="00056394"/>
    <w:rsid w:val="000563FF"/>
    <w:rsid w:val="00056E1D"/>
    <w:rsid w:val="00057447"/>
    <w:rsid w:val="00060A65"/>
    <w:rsid w:val="00060B9E"/>
    <w:rsid w:val="00061B18"/>
    <w:rsid w:val="00061CA5"/>
    <w:rsid w:val="000624D4"/>
    <w:rsid w:val="000626F3"/>
    <w:rsid w:val="0006338E"/>
    <w:rsid w:val="000633E5"/>
    <w:rsid w:val="0006595A"/>
    <w:rsid w:val="000661C1"/>
    <w:rsid w:val="00066460"/>
    <w:rsid w:val="000667B3"/>
    <w:rsid w:val="00066B39"/>
    <w:rsid w:val="00067201"/>
    <w:rsid w:val="0006747E"/>
    <w:rsid w:val="000676A9"/>
    <w:rsid w:val="000709E1"/>
    <w:rsid w:val="00071127"/>
    <w:rsid w:val="00071D89"/>
    <w:rsid w:val="0007231E"/>
    <w:rsid w:val="00072D45"/>
    <w:rsid w:val="00072E41"/>
    <w:rsid w:val="000731C1"/>
    <w:rsid w:val="0007376A"/>
    <w:rsid w:val="0007495D"/>
    <w:rsid w:val="00074D1E"/>
    <w:rsid w:val="000754AC"/>
    <w:rsid w:val="00075C8A"/>
    <w:rsid w:val="0007643F"/>
    <w:rsid w:val="000769E7"/>
    <w:rsid w:val="00077F48"/>
    <w:rsid w:val="000800DC"/>
    <w:rsid w:val="00080715"/>
    <w:rsid w:val="0008094B"/>
    <w:rsid w:val="00081181"/>
    <w:rsid w:val="0008125C"/>
    <w:rsid w:val="000815DD"/>
    <w:rsid w:val="00081AFE"/>
    <w:rsid w:val="00081BFA"/>
    <w:rsid w:val="0008257D"/>
    <w:rsid w:val="00082C2B"/>
    <w:rsid w:val="00083464"/>
    <w:rsid w:val="00084655"/>
    <w:rsid w:val="00084ABC"/>
    <w:rsid w:val="00084B1D"/>
    <w:rsid w:val="00085392"/>
    <w:rsid w:val="00085724"/>
    <w:rsid w:val="00085CA1"/>
    <w:rsid w:val="00085CCE"/>
    <w:rsid w:val="00086114"/>
    <w:rsid w:val="000864BF"/>
    <w:rsid w:val="00086D00"/>
    <w:rsid w:val="000873BF"/>
    <w:rsid w:val="000878E5"/>
    <w:rsid w:val="00087C74"/>
    <w:rsid w:val="00090A29"/>
    <w:rsid w:val="00090AA9"/>
    <w:rsid w:val="00090AEC"/>
    <w:rsid w:val="00090D07"/>
    <w:rsid w:val="000911B5"/>
    <w:rsid w:val="00091B64"/>
    <w:rsid w:val="000924B6"/>
    <w:rsid w:val="0009303F"/>
    <w:rsid w:val="00093DAE"/>
    <w:rsid w:val="000941E5"/>
    <w:rsid w:val="000944C9"/>
    <w:rsid w:val="00095E8C"/>
    <w:rsid w:val="00096599"/>
    <w:rsid w:val="00096A7C"/>
    <w:rsid w:val="00096ED7"/>
    <w:rsid w:val="00096EEC"/>
    <w:rsid w:val="00096EF6"/>
    <w:rsid w:val="00097370"/>
    <w:rsid w:val="00097C81"/>
    <w:rsid w:val="000A0F6D"/>
    <w:rsid w:val="000A16FD"/>
    <w:rsid w:val="000A1A68"/>
    <w:rsid w:val="000A3821"/>
    <w:rsid w:val="000A3AAA"/>
    <w:rsid w:val="000A3CF3"/>
    <w:rsid w:val="000A4C9A"/>
    <w:rsid w:val="000A653A"/>
    <w:rsid w:val="000A679D"/>
    <w:rsid w:val="000A6BE6"/>
    <w:rsid w:val="000A6BEE"/>
    <w:rsid w:val="000A6C6D"/>
    <w:rsid w:val="000A6F46"/>
    <w:rsid w:val="000A74BD"/>
    <w:rsid w:val="000A7774"/>
    <w:rsid w:val="000B0097"/>
    <w:rsid w:val="000B0387"/>
    <w:rsid w:val="000B0A6D"/>
    <w:rsid w:val="000B0EC1"/>
    <w:rsid w:val="000B126A"/>
    <w:rsid w:val="000B1D07"/>
    <w:rsid w:val="000B270D"/>
    <w:rsid w:val="000B2F00"/>
    <w:rsid w:val="000B3009"/>
    <w:rsid w:val="000B3317"/>
    <w:rsid w:val="000B33C2"/>
    <w:rsid w:val="000B42AC"/>
    <w:rsid w:val="000B4A17"/>
    <w:rsid w:val="000B505E"/>
    <w:rsid w:val="000B5162"/>
    <w:rsid w:val="000B5809"/>
    <w:rsid w:val="000B5DC3"/>
    <w:rsid w:val="000B61C6"/>
    <w:rsid w:val="000B67FC"/>
    <w:rsid w:val="000B693B"/>
    <w:rsid w:val="000B6DCE"/>
    <w:rsid w:val="000B6F95"/>
    <w:rsid w:val="000B6FB2"/>
    <w:rsid w:val="000B747B"/>
    <w:rsid w:val="000B7966"/>
    <w:rsid w:val="000C0010"/>
    <w:rsid w:val="000C0275"/>
    <w:rsid w:val="000C06E7"/>
    <w:rsid w:val="000C0721"/>
    <w:rsid w:val="000C1519"/>
    <w:rsid w:val="000C2428"/>
    <w:rsid w:val="000C2C87"/>
    <w:rsid w:val="000C3339"/>
    <w:rsid w:val="000C3465"/>
    <w:rsid w:val="000C37AE"/>
    <w:rsid w:val="000C3C27"/>
    <w:rsid w:val="000C3DAB"/>
    <w:rsid w:val="000C4268"/>
    <w:rsid w:val="000C452E"/>
    <w:rsid w:val="000C4AFD"/>
    <w:rsid w:val="000C6135"/>
    <w:rsid w:val="000C6284"/>
    <w:rsid w:val="000C62AA"/>
    <w:rsid w:val="000C7476"/>
    <w:rsid w:val="000C76EC"/>
    <w:rsid w:val="000C7D15"/>
    <w:rsid w:val="000D01C4"/>
    <w:rsid w:val="000D037E"/>
    <w:rsid w:val="000D0589"/>
    <w:rsid w:val="000D085D"/>
    <w:rsid w:val="000D0F14"/>
    <w:rsid w:val="000D11B3"/>
    <w:rsid w:val="000D161F"/>
    <w:rsid w:val="000D1DEC"/>
    <w:rsid w:val="000D374A"/>
    <w:rsid w:val="000D41A0"/>
    <w:rsid w:val="000D4F71"/>
    <w:rsid w:val="000D5048"/>
    <w:rsid w:val="000D5945"/>
    <w:rsid w:val="000D6609"/>
    <w:rsid w:val="000D6814"/>
    <w:rsid w:val="000D713D"/>
    <w:rsid w:val="000D76DB"/>
    <w:rsid w:val="000D789A"/>
    <w:rsid w:val="000D7AD5"/>
    <w:rsid w:val="000D7E1A"/>
    <w:rsid w:val="000E1101"/>
    <w:rsid w:val="000E1295"/>
    <w:rsid w:val="000E1586"/>
    <w:rsid w:val="000E15B0"/>
    <w:rsid w:val="000E267D"/>
    <w:rsid w:val="000E3184"/>
    <w:rsid w:val="000E4A83"/>
    <w:rsid w:val="000E4EE0"/>
    <w:rsid w:val="000E4EEE"/>
    <w:rsid w:val="000E50BF"/>
    <w:rsid w:val="000E5443"/>
    <w:rsid w:val="000E551A"/>
    <w:rsid w:val="000E5866"/>
    <w:rsid w:val="000E5CAC"/>
    <w:rsid w:val="000E5F50"/>
    <w:rsid w:val="000E61E0"/>
    <w:rsid w:val="000E68EC"/>
    <w:rsid w:val="000E6F03"/>
    <w:rsid w:val="000E76FB"/>
    <w:rsid w:val="000F05B1"/>
    <w:rsid w:val="000F10FA"/>
    <w:rsid w:val="000F1733"/>
    <w:rsid w:val="000F180E"/>
    <w:rsid w:val="000F1E02"/>
    <w:rsid w:val="000F2215"/>
    <w:rsid w:val="000F25F9"/>
    <w:rsid w:val="000F34D3"/>
    <w:rsid w:val="000F407C"/>
    <w:rsid w:val="000F48E2"/>
    <w:rsid w:val="000F548E"/>
    <w:rsid w:val="000F5567"/>
    <w:rsid w:val="000F57F7"/>
    <w:rsid w:val="000F6221"/>
    <w:rsid w:val="000F6A44"/>
    <w:rsid w:val="000F6AD9"/>
    <w:rsid w:val="000F6D1A"/>
    <w:rsid w:val="000F7469"/>
    <w:rsid w:val="000F7602"/>
    <w:rsid w:val="000F7CC6"/>
    <w:rsid w:val="00100C36"/>
    <w:rsid w:val="001012F2"/>
    <w:rsid w:val="00101BB4"/>
    <w:rsid w:val="00103153"/>
    <w:rsid w:val="0010394E"/>
    <w:rsid w:val="00105E9C"/>
    <w:rsid w:val="00105F33"/>
    <w:rsid w:val="00106D7B"/>
    <w:rsid w:val="00107C43"/>
    <w:rsid w:val="00107EFF"/>
    <w:rsid w:val="001100F3"/>
    <w:rsid w:val="001104A1"/>
    <w:rsid w:val="001109AA"/>
    <w:rsid w:val="00110C4E"/>
    <w:rsid w:val="00110C53"/>
    <w:rsid w:val="0011116B"/>
    <w:rsid w:val="00111441"/>
    <w:rsid w:val="0011171C"/>
    <w:rsid w:val="00111C47"/>
    <w:rsid w:val="00112A26"/>
    <w:rsid w:val="00112BA3"/>
    <w:rsid w:val="00112E40"/>
    <w:rsid w:val="001137EE"/>
    <w:rsid w:val="0011387A"/>
    <w:rsid w:val="0011402F"/>
    <w:rsid w:val="001145DB"/>
    <w:rsid w:val="0011498F"/>
    <w:rsid w:val="00115B6A"/>
    <w:rsid w:val="00116A15"/>
    <w:rsid w:val="001171E7"/>
    <w:rsid w:val="00120258"/>
    <w:rsid w:val="001202C0"/>
    <w:rsid w:val="00120727"/>
    <w:rsid w:val="001209AE"/>
    <w:rsid w:val="001215A9"/>
    <w:rsid w:val="001222D3"/>
    <w:rsid w:val="00122742"/>
    <w:rsid w:val="00123482"/>
    <w:rsid w:val="0012438D"/>
    <w:rsid w:val="001252D6"/>
    <w:rsid w:val="001274BA"/>
    <w:rsid w:val="00127C32"/>
    <w:rsid w:val="001303AE"/>
    <w:rsid w:val="001316D4"/>
    <w:rsid w:val="00131823"/>
    <w:rsid w:val="00131C69"/>
    <w:rsid w:val="0013245E"/>
    <w:rsid w:val="0013263E"/>
    <w:rsid w:val="0013278A"/>
    <w:rsid w:val="001328A7"/>
    <w:rsid w:val="00132E36"/>
    <w:rsid w:val="00132FB5"/>
    <w:rsid w:val="00134B92"/>
    <w:rsid w:val="00135FD2"/>
    <w:rsid w:val="00136504"/>
    <w:rsid w:val="00137091"/>
    <w:rsid w:val="00137937"/>
    <w:rsid w:val="00137A5F"/>
    <w:rsid w:val="001400E0"/>
    <w:rsid w:val="00140699"/>
    <w:rsid w:val="001419C1"/>
    <w:rsid w:val="00141EA9"/>
    <w:rsid w:val="00141F56"/>
    <w:rsid w:val="0014235E"/>
    <w:rsid w:val="00142628"/>
    <w:rsid w:val="00142C01"/>
    <w:rsid w:val="00143551"/>
    <w:rsid w:val="00143669"/>
    <w:rsid w:val="00143B3A"/>
    <w:rsid w:val="00144D0D"/>
    <w:rsid w:val="001454A1"/>
    <w:rsid w:val="00145B62"/>
    <w:rsid w:val="00145C00"/>
    <w:rsid w:val="00145C28"/>
    <w:rsid w:val="001461CF"/>
    <w:rsid w:val="001465CA"/>
    <w:rsid w:val="00146ED5"/>
    <w:rsid w:val="001506E9"/>
    <w:rsid w:val="00150B3A"/>
    <w:rsid w:val="00151726"/>
    <w:rsid w:val="0015186A"/>
    <w:rsid w:val="00151BC0"/>
    <w:rsid w:val="00151E94"/>
    <w:rsid w:val="001525CD"/>
    <w:rsid w:val="0015294E"/>
    <w:rsid w:val="00152A6C"/>
    <w:rsid w:val="00152D2C"/>
    <w:rsid w:val="00152FEF"/>
    <w:rsid w:val="00155D73"/>
    <w:rsid w:val="001573E3"/>
    <w:rsid w:val="00157A78"/>
    <w:rsid w:val="00157BB3"/>
    <w:rsid w:val="001607E7"/>
    <w:rsid w:val="00160AB4"/>
    <w:rsid w:val="001620AC"/>
    <w:rsid w:val="00162680"/>
    <w:rsid w:val="00162A86"/>
    <w:rsid w:val="00162D14"/>
    <w:rsid w:val="0016425F"/>
    <w:rsid w:val="001644E9"/>
    <w:rsid w:val="00165386"/>
    <w:rsid w:val="00165624"/>
    <w:rsid w:val="00165C0B"/>
    <w:rsid w:val="00165ED6"/>
    <w:rsid w:val="00166062"/>
    <w:rsid w:val="001661F3"/>
    <w:rsid w:val="00166A9C"/>
    <w:rsid w:val="0016705F"/>
    <w:rsid w:val="001672E5"/>
    <w:rsid w:val="001676E7"/>
    <w:rsid w:val="00167D4C"/>
    <w:rsid w:val="00167E07"/>
    <w:rsid w:val="00167F75"/>
    <w:rsid w:val="00170705"/>
    <w:rsid w:val="00170746"/>
    <w:rsid w:val="00170FB0"/>
    <w:rsid w:val="00171324"/>
    <w:rsid w:val="00171F80"/>
    <w:rsid w:val="0017240B"/>
    <w:rsid w:val="001724D9"/>
    <w:rsid w:val="001727F1"/>
    <w:rsid w:val="00172A27"/>
    <w:rsid w:val="00173072"/>
    <w:rsid w:val="00173855"/>
    <w:rsid w:val="001742F2"/>
    <w:rsid w:val="00174532"/>
    <w:rsid w:val="001747FF"/>
    <w:rsid w:val="001749D4"/>
    <w:rsid w:val="00174AD9"/>
    <w:rsid w:val="00175A99"/>
    <w:rsid w:val="00175B3C"/>
    <w:rsid w:val="0017606F"/>
    <w:rsid w:val="00176422"/>
    <w:rsid w:val="00176AAD"/>
    <w:rsid w:val="001774C4"/>
    <w:rsid w:val="00177D24"/>
    <w:rsid w:val="001807D4"/>
    <w:rsid w:val="00181B8D"/>
    <w:rsid w:val="001825AE"/>
    <w:rsid w:val="00182D94"/>
    <w:rsid w:val="00182F9A"/>
    <w:rsid w:val="001830DE"/>
    <w:rsid w:val="001832B7"/>
    <w:rsid w:val="00183742"/>
    <w:rsid w:val="00183D1E"/>
    <w:rsid w:val="00183EE9"/>
    <w:rsid w:val="001841C8"/>
    <w:rsid w:val="001843D1"/>
    <w:rsid w:val="00185030"/>
    <w:rsid w:val="0018528C"/>
    <w:rsid w:val="00185CBB"/>
    <w:rsid w:val="0018629F"/>
    <w:rsid w:val="00186CB7"/>
    <w:rsid w:val="00187081"/>
    <w:rsid w:val="00187804"/>
    <w:rsid w:val="00187B7C"/>
    <w:rsid w:val="00190245"/>
    <w:rsid w:val="00190360"/>
    <w:rsid w:val="00190527"/>
    <w:rsid w:val="001908A0"/>
    <w:rsid w:val="00190E5E"/>
    <w:rsid w:val="00191DE5"/>
    <w:rsid w:val="00192783"/>
    <w:rsid w:val="00192F9A"/>
    <w:rsid w:val="00193367"/>
    <w:rsid w:val="001937D1"/>
    <w:rsid w:val="00193B1D"/>
    <w:rsid w:val="00193DE9"/>
    <w:rsid w:val="00193F80"/>
    <w:rsid w:val="0019467B"/>
    <w:rsid w:val="00194A18"/>
    <w:rsid w:val="00195E1D"/>
    <w:rsid w:val="0019662F"/>
    <w:rsid w:val="0019715E"/>
    <w:rsid w:val="0019732E"/>
    <w:rsid w:val="00197B7C"/>
    <w:rsid w:val="001A0D7D"/>
    <w:rsid w:val="001A11C8"/>
    <w:rsid w:val="001A182D"/>
    <w:rsid w:val="001A1B43"/>
    <w:rsid w:val="001A1E36"/>
    <w:rsid w:val="001A3448"/>
    <w:rsid w:val="001A3649"/>
    <w:rsid w:val="001A38AF"/>
    <w:rsid w:val="001A4350"/>
    <w:rsid w:val="001A4943"/>
    <w:rsid w:val="001A4FFE"/>
    <w:rsid w:val="001A520D"/>
    <w:rsid w:val="001A536A"/>
    <w:rsid w:val="001A561E"/>
    <w:rsid w:val="001A5CF7"/>
    <w:rsid w:val="001A5D45"/>
    <w:rsid w:val="001A5FFD"/>
    <w:rsid w:val="001A610B"/>
    <w:rsid w:val="001A6360"/>
    <w:rsid w:val="001A6601"/>
    <w:rsid w:val="001A6C0E"/>
    <w:rsid w:val="001A6D42"/>
    <w:rsid w:val="001A6D78"/>
    <w:rsid w:val="001A701E"/>
    <w:rsid w:val="001A75AB"/>
    <w:rsid w:val="001B01C1"/>
    <w:rsid w:val="001B08CA"/>
    <w:rsid w:val="001B0B3F"/>
    <w:rsid w:val="001B0E49"/>
    <w:rsid w:val="001B1B59"/>
    <w:rsid w:val="001B1C65"/>
    <w:rsid w:val="001B1D9A"/>
    <w:rsid w:val="001B2BC2"/>
    <w:rsid w:val="001B2CA5"/>
    <w:rsid w:val="001B3158"/>
    <w:rsid w:val="001B5550"/>
    <w:rsid w:val="001B5812"/>
    <w:rsid w:val="001B5E32"/>
    <w:rsid w:val="001B65E4"/>
    <w:rsid w:val="001B6926"/>
    <w:rsid w:val="001B75E1"/>
    <w:rsid w:val="001B7605"/>
    <w:rsid w:val="001B7A15"/>
    <w:rsid w:val="001B7A9C"/>
    <w:rsid w:val="001B7ED2"/>
    <w:rsid w:val="001C099E"/>
    <w:rsid w:val="001C0DC2"/>
    <w:rsid w:val="001C26AD"/>
    <w:rsid w:val="001C365D"/>
    <w:rsid w:val="001C36B3"/>
    <w:rsid w:val="001C3744"/>
    <w:rsid w:val="001C37DA"/>
    <w:rsid w:val="001C3D23"/>
    <w:rsid w:val="001C3EC0"/>
    <w:rsid w:val="001C3F11"/>
    <w:rsid w:val="001C4670"/>
    <w:rsid w:val="001C4878"/>
    <w:rsid w:val="001C4F58"/>
    <w:rsid w:val="001C58D6"/>
    <w:rsid w:val="001C5AA3"/>
    <w:rsid w:val="001C5B97"/>
    <w:rsid w:val="001C7D2F"/>
    <w:rsid w:val="001C7FAC"/>
    <w:rsid w:val="001D0257"/>
    <w:rsid w:val="001D0542"/>
    <w:rsid w:val="001D1AFF"/>
    <w:rsid w:val="001D1F5F"/>
    <w:rsid w:val="001D3087"/>
    <w:rsid w:val="001D3E48"/>
    <w:rsid w:val="001D483C"/>
    <w:rsid w:val="001D4932"/>
    <w:rsid w:val="001D5E28"/>
    <w:rsid w:val="001D6243"/>
    <w:rsid w:val="001D702B"/>
    <w:rsid w:val="001D7114"/>
    <w:rsid w:val="001D767D"/>
    <w:rsid w:val="001D7830"/>
    <w:rsid w:val="001D7DA5"/>
    <w:rsid w:val="001E0608"/>
    <w:rsid w:val="001E09FA"/>
    <w:rsid w:val="001E0C56"/>
    <w:rsid w:val="001E0D5B"/>
    <w:rsid w:val="001E103F"/>
    <w:rsid w:val="001E1574"/>
    <w:rsid w:val="001E25CF"/>
    <w:rsid w:val="001E2A3C"/>
    <w:rsid w:val="001E415F"/>
    <w:rsid w:val="001E449B"/>
    <w:rsid w:val="001E4E34"/>
    <w:rsid w:val="001E52AF"/>
    <w:rsid w:val="001E5D55"/>
    <w:rsid w:val="001E5E12"/>
    <w:rsid w:val="001E6318"/>
    <w:rsid w:val="001E7282"/>
    <w:rsid w:val="001E7316"/>
    <w:rsid w:val="001E7408"/>
    <w:rsid w:val="001E741D"/>
    <w:rsid w:val="001E77F7"/>
    <w:rsid w:val="001F0575"/>
    <w:rsid w:val="001F14CC"/>
    <w:rsid w:val="001F203B"/>
    <w:rsid w:val="001F218C"/>
    <w:rsid w:val="001F224E"/>
    <w:rsid w:val="001F3A0C"/>
    <w:rsid w:val="001F4655"/>
    <w:rsid w:val="001F4F11"/>
    <w:rsid w:val="001F546E"/>
    <w:rsid w:val="001F5F68"/>
    <w:rsid w:val="00200C99"/>
    <w:rsid w:val="00201161"/>
    <w:rsid w:val="002017D7"/>
    <w:rsid w:val="00201F03"/>
    <w:rsid w:val="00203449"/>
    <w:rsid w:val="00203D39"/>
    <w:rsid w:val="0020432B"/>
    <w:rsid w:val="002048DF"/>
    <w:rsid w:val="00204C72"/>
    <w:rsid w:val="0020508D"/>
    <w:rsid w:val="00206854"/>
    <w:rsid w:val="00206CB0"/>
    <w:rsid w:val="00206DE0"/>
    <w:rsid w:val="002077AA"/>
    <w:rsid w:val="00207CBF"/>
    <w:rsid w:val="0021010E"/>
    <w:rsid w:val="0021015C"/>
    <w:rsid w:val="00210D1A"/>
    <w:rsid w:val="00211D8D"/>
    <w:rsid w:val="00212B02"/>
    <w:rsid w:val="002134EA"/>
    <w:rsid w:val="0021358D"/>
    <w:rsid w:val="002141CC"/>
    <w:rsid w:val="0021443F"/>
    <w:rsid w:val="0021493E"/>
    <w:rsid w:val="00214E30"/>
    <w:rsid w:val="00215311"/>
    <w:rsid w:val="00215DBD"/>
    <w:rsid w:val="00216157"/>
    <w:rsid w:val="00216ADF"/>
    <w:rsid w:val="00216DE7"/>
    <w:rsid w:val="00216E1A"/>
    <w:rsid w:val="00217255"/>
    <w:rsid w:val="0022044F"/>
    <w:rsid w:val="00220C8D"/>
    <w:rsid w:val="00220F6B"/>
    <w:rsid w:val="002211A9"/>
    <w:rsid w:val="00222127"/>
    <w:rsid w:val="00223523"/>
    <w:rsid w:val="00223C2A"/>
    <w:rsid w:val="002240C0"/>
    <w:rsid w:val="002251B2"/>
    <w:rsid w:val="00225664"/>
    <w:rsid w:val="00226603"/>
    <w:rsid w:val="00226F5F"/>
    <w:rsid w:val="00227729"/>
    <w:rsid w:val="0022792F"/>
    <w:rsid w:val="002304BC"/>
    <w:rsid w:val="002312B8"/>
    <w:rsid w:val="002317B3"/>
    <w:rsid w:val="002318D0"/>
    <w:rsid w:val="00232842"/>
    <w:rsid w:val="002333B0"/>
    <w:rsid w:val="00233769"/>
    <w:rsid w:val="0023380F"/>
    <w:rsid w:val="00233C86"/>
    <w:rsid w:val="00234447"/>
    <w:rsid w:val="00234AAA"/>
    <w:rsid w:val="00235119"/>
    <w:rsid w:val="002353CB"/>
    <w:rsid w:val="00235A9D"/>
    <w:rsid w:val="00236EF6"/>
    <w:rsid w:val="0023704A"/>
    <w:rsid w:val="0023721F"/>
    <w:rsid w:val="00237CCF"/>
    <w:rsid w:val="00237E8E"/>
    <w:rsid w:val="00240210"/>
    <w:rsid w:val="002405E2"/>
    <w:rsid w:val="00240871"/>
    <w:rsid w:val="0024096B"/>
    <w:rsid w:val="00241583"/>
    <w:rsid w:val="00241B3F"/>
    <w:rsid w:val="00242502"/>
    <w:rsid w:val="002435D0"/>
    <w:rsid w:val="00243ED9"/>
    <w:rsid w:val="00244035"/>
    <w:rsid w:val="0024507F"/>
    <w:rsid w:val="00245475"/>
    <w:rsid w:val="00245B87"/>
    <w:rsid w:val="00245F87"/>
    <w:rsid w:val="002463B8"/>
    <w:rsid w:val="00246462"/>
    <w:rsid w:val="0024647D"/>
    <w:rsid w:val="0024690B"/>
    <w:rsid w:val="00246D65"/>
    <w:rsid w:val="00246F0C"/>
    <w:rsid w:val="00247185"/>
    <w:rsid w:val="002473DC"/>
    <w:rsid w:val="0024773C"/>
    <w:rsid w:val="0024799B"/>
    <w:rsid w:val="00247CAB"/>
    <w:rsid w:val="00247DC4"/>
    <w:rsid w:val="00250F7B"/>
    <w:rsid w:val="002517C6"/>
    <w:rsid w:val="00252A5B"/>
    <w:rsid w:val="00253430"/>
    <w:rsid w:val="00253563"/>
    <w:rsid w:val="00253723"/>
    <w:rsid w:val="002538B5"/>
    <w:rsid w:val="00253AFC"/>
    <w:rsid w:val="00254189"/>
    <w:rsid w:val="002542E5"/>
    <w:rsid w:val="002542FC"/>
    <w:rsid w:val="0025523C"/>
    <w:rsid w:val="00255B45"/>
    <w:rsid w:val="00255DBA"/>
    <w:rsid w:val="00255F44"/>
    <w:rsid w:val="002568D5"/>
    <w:rsid w:val="00256FF8"/>
    <w:rsid w:val="002570AC"/>
    <w:rsid w:val="0025784E"/>
    <w:rsid w:val="002604E7"/>
    <w:rsid w:val="00260964"/>
    <w:rsid w:val="00260B65"/>
    <w:rsid w:val="00261482"/>
    <w:rsid w:val="00261C83"/>
    <w:rsid w:val="00263207"/>
    <w:rsid w:val="00263B18"/>
    <w:rsid w:val="002645AB"/>
    <w:rsid w:val="00265AB3"/>
    <w:rsid w:val="00265D27"/>
    <w:rsid w:val="002664F5"/>
    <w:rsid w:val="00266A6B"/>
    <w:rsid w:val="00266B38"/>
    <w:rsid w:val="00266DC6"/>
    <w:rsid w:val="0026771A"/>
    <w:rsid w:val="00267725"/>
    <w:rsid w:val="00267A72"/>
    <w:rsid w:val="00267BAC"/>
    <w:rsid w:val="00267DEC"/>
    <w:rsid w:val="002701E6"/>
    <w:rsid w:val="002702D1"/>
    <w:rsid w:val="0027097B"/>
    <w:rsid w:val="00270A12"/>
    <w:rsid w:val="00271377"/>
    <w:rsid w:val="0027161B"/>
    <w:rsid w:val="002721D7"/>
    <w:rsid w:val="00272242"/>
    <w:rsid w:val="00272C14"/>
    <w:rsid w:val="002732F4"/>
    <w:rsid w:val="00273797"/>
    <w:rsid w:val="00273F3D"/>
    <w:rsid w:val="002740C2"/>
    <w:rsid w:val="00274354"/>
    <w:rsid w:val="002743B6"/>
    <w:rsid w:val="00274AC2"/>
    <w:rsid w:val="00274C6C"/>
    <w:rsid w:val="0027504F"/>
    <w:rsid w:val="0027555A"/>
    <w:rsid w:val="0027636C"/>
    <w:rsid w:val="002772D2"/>
    <w:rsid w:val="00277358"/>
    <w:rsid w:val="00277836"/>
    <w:rsid w:val="00277F16"/>
    <w:rsid w:val="0028066A"/>
    <w:rsid w:val="002807EE"/>
    <w:rsid w:val="002809FE"/>
    <w:rsid w:val="00281A81"/>
    <w:rsid w:val="002829F1"/>
    <w:rsid w:val="00282A34"/>
    <w:rsid w:val="00282C78"/>
    <w:rsid w:val="0028373C"/>
    <w:rsid w:val="00283B40"/>
    <w:rsid w:val="00283D94"/>
    <w:rsid w:val="00284297"/>
    <w:rsid w:val="002849B2"/>
    <w:rsid w:val="00285247"/>
    <w:rsid w:val="00285D14"/>
    <w:rsid w:val="002861E9"/>
    <w:rsid w:val="0028664B"/>
    <w:rsid w:val="00286F3E"/>
    <w:rsid w:val="0028728E"/>
    <w:rsid w:val="00287659"/>
    <w:rsid w:val="002907A3"/>
    <w:rsid w:val="00290A4F"/>
    <w:rsid w:val="00290B58"/>
    <w:rsid w:val="00290D9A"/>
    <w:rsid w:val="00291823"/>
    <w:rsid w:val="00292594"/>
    <w:rsid w:val="00293A6A"/>
    <w:rsid w:val="0029478B"/>
    <w:rsid w:val="00294BA5"/>
    <w:rsid w:val="00295808"/>
    <w:rsid w:val="00295984"/>
    <w:rsid w:val="00295ADF"/>
    <w:rsid w:val="002960C2"/>
    <w:rsid w:val="002962E4"/>
    <w:rsid w:val="00297479"/>
    <w:rsid w:val="00297978"/>
    <w:rsid w:val="002A0416"/>
    <w:rsid w:val="002A0575"/>
    <w:rsid w:val="002A15C8"/>
    <w:rsid w:val="002A168D"/>
    <w:rsid w:val="002A1849"/>
    <w:rsid w:val="002A1BD0"/>
    <w:rsid w:val="002A20AF"/>
    <w:rsid w:val="002A25F3"/>
    <w:rsid w:val="002A28A7"/>
    <w:rsid w:val="002A3E2A"/>
    <w:rsid w:val="002A5364"/>
    <w:rsid w:val="002A61C2"/>
    <w:rsid w:val="002A61E9"/>
    <w:rsid w:val="002A62CF"/>
    <w:rsid w:val="002A6526"/>
    <w:rsid w:val="002A664B"/>
    <w:rsid w:val="002A6E94"/>
    <w:rsid w:val="002A73F4"/>
    <w:rsid w:val="002B0483"/>
    <w:rsid w:val="002B05EB"/>
    <w:rsid w:val="002B121B"/>
    <w:rsid w:val="002B1577"/>
    <w:rsid w:val="002B1653"/>
    <w:rsid w:val="002B3302"/>
    <w:rsid w:val="002B33CD"/>
    <w:rsid w:val="002B3745"/>
    <w:rsid w:val="002B39B6"/>
    <w:rsid w:val="002B3F6D"/>
    <w:rsid w:val="002B42BE"/>
    <w:rsid w:val="002B42F2"/>
    <w:rsid w:val="002B4DBA"/>
    <w:rsid w:val="002B5367"/>
    <w:rsid w:val="002B6196"/>
    <w:rsid w:val="002B6EF1"/>
    <w:rsid w:val="002B719B"/>
    <w:rsid w:val="002B72A6"/>
    <w:rsid w:val="002C0595"/>
    <w:rsid w:val="002C0756"/>
    <w:rsid w:val="002C0845"/>
    <w:rsid w:val="002C08D7"/>
    <w:rsid w:val="002C0B4E"/>
    <w:rsid w:val="002C0F4F"/>
    <w:rsid w:val="002C11DE"/>
    <w:rsid w:val="002C1A6F"/>
    <w:rsid w:val="002C1BA4"/>
    <w:rsid w:val="002C1CD8"/>
    <w:rsid w:val="002C1DE4"/>
    <w:rsid w:val="002C1ED3"/>
    <w:rsid w:val="002C1EE4"/>
    <w:rsid w:val="002C3B71"/>
    <w:rsid w:val="002C3E90"/>
    <w:rsid w:val="002C4810"/>
    <w:rsid w:val="002C4B85"/>
    <w:rsid w:val="002C5146"/>
    <w:rsid w:val="002C5715"/>
    <w:rsid w:val="002C57CE"/>
    <w:rsid w:val="002C5F31"/>
    <w:rsid w:val="002C5F5C"/>
    <w:rsid w:val="002C6FDB"/>
    <w:rsid w:val="002D052E"/>
    <w:rsid w:val="002D091F"/>
    <w:rsid w:val="002D0E01"/>
    <w:rsid w:val="002D1585"/>
    <w:rsid w:val="002D1D83"/>
    <w:rsid w:val="002D1E34"/>
    <w:rsid w:val="002D2832"/>
    <w:rsid w:val="002D3AA2"/>
    <w:rsid w:val="002D3F8B"/>
    <w:rsid w:val="002D418A"/>
    <w:rsid w:val="002D41C3"/>
    <w:rsid w:val="002D565A"/>
    <w:rsid w:val="002D62DB"/>
    <w:rsid w:val="002D64BF"/>
    <w:rsid w:val="002D698D"/>
    <w:rsid w:val="002D6E4F"/>
    <w:rsid w:val="002D7B46"/>
    <w:rsid w:val="002E02C4"/>
    <w:rsid w:val="002E074A"/>
    <w:rsid w:val="002E0761"/>
    <w:rsid w:val="002E0C6D"/>
    <w:rsid w:val="002E0D5D"/>
    <w:rsid w:val="002E0E69"/>
    <w:rsid w:val="002E2267"/>
    <w:rsid w:val="002E2352"/>
    <w:rsid w:val="002E2A83"/>
    <w:rsid w:val="002E2B96"/>
    <w:rsid w:val="002E3334"/>
    <w:rsid w:val="002E33CC"/>
    <w:rsid w:val="002E4857"/>
    <w:rsid w:val="002E4A91"/>
    <w:rsid w:val="002E523E"/>
    <w:rsid w:val="002E5845"/>
    <w:rsid w:val="002E5D0F"/>
    <w:rsid w:val="002E638E"/>
    <w:rsid w:val="002E7751"/>
    <w:rsid w:val="002E7845"/>
    <w:rsid w:val="002E7ED9"/>
    <w:rsid w:val="002F033E"/>
    <w:rsid w:val="002F1965"/>
    <w:rsid w:val="002F21AB"/>
    <w:rsid w:val="002F25D9"/>
    <w:rsid w:val="002F2BB2"/>
    <w:rsid w:val="002F307A"/>
    <w:rsid w:val="002F337A"/>
    <w:rsid w:val="002F3680"/>
    <w:rsid w:val="002F3723"/>
    <w:rsid w:val="002F3ABF"/>
    <w:rsid w:val="002F4241"/>
    <w:rsid w:val="002F4EC6"/>
    <w:rsid w:val="002F4F09"/>
    <w:rsid w:val="002F66DB"/>
    <w:rsid w:val="002F6C84"/>
    <w:rsid w:val="002F6E4E"/>
    <w:rsid w:val="00300130"/>
    <w:rsid w:val="003003AC"/>
    <w:rsid w:val="00300DE9"/>
    <w:rsid w:val="00300E7C"/>
    <w:rsid w:val="00300FE7"/>
    <w:rsid w:val="0030187C"/>
    <w:rsid w:val="00301D0E"/>
    <w:rsid w:val="00302D6C"/>
    <w:rsid w:val="00302F32"/>
    <w:rsid w:val="00303495"/>
    <w:rsid w:val="0030392A"/>
    <w:rsid w:val="00303947"/>
    <w:rsid w:val="0030405A"/>
    <w:rsid w:val="00304420"/>
    <w:rsid w:val="003046D4"/>
    <w:rsid w:val="00304A92"/>
    <w:rsid w:val="003059EC"/>
    <w:rsid w:val="00305A0C"/>
    <w:rsid w:val="00306B60"/>
    <w:rsid w:val="00307499"/>
    <w:rsid w:val="003100A9"/>
    <w:rsid w:val="003112FB"/>
    <w:rsid w:val="003117C4"/>
    <w:rsid w:val="00312255"/>
    <w:rsid w:val="00312BD6"/>
    <w:rsid w:val="003131FB"/>
    <w:rsid w:val="003134BD"/>
    <w:rsid w:val="00313DCA"/>
    <w:rsid w:val="0031491B"/>
    <w:rsid w:val="00314F26"/>
    <w:rsid w:val="00315389"/>
    <w:rsid w:val="003158AC"/>
    <w:rsid w:val="003159A0"/>
    <w:rsid w:val="00315D58"/>
    <w:rsid w:val="0031649F"/>
    <w:rsid w:val="003166F2"/>
    <w:rsid w:val="00316C7D"/>
    <w:rsid w:val="003173B9"/>
    <w:rsid w:val="00317BB1"/>
    <w:rsid w:val="00317ECD"/>
    <w:rsid w:val="00320566"/>
    <w:rsid w:val="003207E1"/>
    <w:rsid w:val="00320DC5"/>
    <w:rsid w:val="00321491"/>
    <w:rsid w:val="003215CD"/>
    <w:rsid w:val="00321F82"/>
    <w:rsid w:val="00322034"/>
    <w:rsid w:val="003228F6"/>
    <w:rsid w:val="0032361B"/>
    <w:rsid w:val="00323DFE"/>
    <w:rsid w:val="00323EBD"/>
    <w:rsid w:val="00323F46"/>
    <w:rsid w:val="00323FCA"/>
    <w:rsid w:val="003245DD"/>
    <w:rsid w:val="00324879"/>
    <w:rsid w:val="003248ED"/>
    <w:rsid w:val="00324B4F"/>
    <w:rsid w:val="00324FF9"/>
    <w:rsid w:val="00325291"/>
    <w:rsid w:val="0032529E"/>
    <w:rsid w:val="003254DB"/>
    <w:rsid w:val="0032599F"/>
    <w:rsid w:val="00325FBC"/>
    <w:rsid w:val="003262EB"/>
    <w:rsid w:val="0032650D"/>
    <w:rsid w:val="003276B2"/>
    <w:rsid w:val="003310DC"/>
    <w:rsid w:val="00331478"/>
    <w:rsid w:val="00331E64"/>
    <w:rsid w:val="00332AF7"/>
    <w:rsid w:val="00332AF9"/>
    <w:rsid w:val="00333F43"/>
    <w:rsid w:val="00334098"/>
    <w:rsid w:val="003344BE"/>
    <w:rsid w:val="003352D2"/>
    <w:rsid w:val="0033543F"/>
    <w:rsid w:val="00335BF3"/>
    <w:rsid w:val="00335C47"/>
    <w:rsid w:val="00335C51"/>
    <w:rsid w:val="003361BA"/>
    <w:rsid w:val="003361D2"/>
    <w:rsid w:val="00336425"/>
    <w:rsid w:val="003366AE"/>
    <w:rsid w:val="003368CA"/>
    <w:rsid w:val="00336EA3"/>
    <w:rsid w:val="00337E2F"/>
    <w:rsid w:val="003401CE"/>
    <w:rsid w:val="0034029F"/>
    <w:rsid w:val="0034047C"/>
    <w:rsid w:val="00341D38"/>
    <w:rsid w:val="00342A67"/>
    <w:rsid w:val="00342CF2"/>
    <w:rsid w:val="00343237"/>
    <w:rsid w:val="00343FFC"/>
    <w:rsid w:val="00344135"/>
    <w:rsid w:val="00344551"/>
    <w:rsid w:val="00344956"/>
    <w:rsid w:val="003456EE"/>
    <w:rsid w:val="00345CB4"/>
    <w:rsid w:val="00345EE6"/>
    <w:rsid w:val="0034664F"/>
    <w:rsid w:val="00346B09"/>
    <w:rsid w:val="00346C6E"/>
    <w:rsid w:val="00350B4B"/>
    <w:rsid w:val="00350F2D"/>
    <w:rsid w:val="003518B7"/>
    <w:rsid w:val="003523A0"/>
    <w:rsid w:val="003524EA"/>
    <w:rsid w:val="0035279B"/>
    <w:rsid w:val="00352B98"/>
    <w:rsid w:val="00352D07"/>
    <w:rsid w:val="00353D3E"/>
    <w:rsid w:val="00354084"/>
    <w:rsid w:val="00354BA0"/>
    <w:rsid w:val="00355071"/>
    <w:rsid w:val="0035512C"/>
    <w:rsid w:val="003556FB"/>
    <w:rsid w:val="00355FEB"/>
    <w:rsid w:val="003561DC"/>
    <w:rsid w:val="0035625C"/>
    <w:rsid w:val="0035638F"/>
    <w:rsid w:val="00356F7C"/>
    <w:rsid w:val="003571F4"/>
    <w:rsid w:val="00357303"/>
    <w:rsid w:val="003575FA"/>
    <w:rsid w:val="00357B82"/>
    <w:rsid w:val="00357C78"/>
    <w:rsid w:val="00360754"/>
    <w:rsid w:val="00360A86"/>
    <w:rsid w:val="00360DD9"/>
    <w:rsid w:val="00360E52"/>
    <w:rsid w:val="00360EAE"/>
    <w:rsid w:val="00361658"/>
    <w:rsid w:val="003619CF"/>
    <w:rsid w:val="00361DFC"/>
    <w:rsid w:val="0036303E"/>
    <w:rsid w:val="003631AD"/>
    <w:rsid w:val="003635F3"/>
    <w:rsid w:val="003639D6"/>
    <w:rsid w:val="0036510C"/>
    <w:rsid w:val="00365183"/>
    <w:rsid w:val="003652BA"/>
    <w:rsid w:val="00365537"/>
    <w:rsid w:val="00366A3A"/>
    <w:rsid w:val="00366B14"/>
    <w:rsid w:val="00367FB8"/>
    <w:rsid w:val="003714EB"/>
    <w:rsid w:val="0037165D"/>
    <w:rsid w:val="00371F7E"/>
    <w:rsid w:val="00372916"/>
    <w:rsid w:val="003730C7"/>
    <w:rsid w:val="003731E2"/>
    <w:rsid w:val="00373766"/>
    <w:rsid w:val="00373B0F"/>
    <w:rsid w:val="00373DE5"/>
    <w:rsid w:val="00373F27"/>
    <w:rsid w:val="00374DFB"/>
    <w:rsid w:val="00375487"/>
    <w:rsid w:val="00375940"/>
    <w:rsid w:val="00375B4D"/>
    <w:rsid w:val="00375F33"/>
    <w:rsid w:val="003766C8"/>
    <w:rsid w:val="0037715B"/>
    <w:rsid w:val="0037757B"/>
    <w:rsid w:val="0037759C"/>
    <w:rsid w:val="003775AB"/>
    <w:rsid w:val="003777EF"/>
    <w:rsid w:val="00380450"/>
    <w:rsid w:val="0038049E"/>
    <w:rsid w:val="003806AF"/>
    <w:rsid w:val="00380716"/>
    <w:rsid w:val="00380E37"/>
    <w:rsid w:val="00380E80"/>
    <w:rsid w:val="003811B4"/>
    <w:rsid w:val="00381363"/>
    <w:rsid w:val="00382161"/>
    <w:rsid w:val="00383200"/>
    <w:rsid w:val="00383285"/>
    <w:rsid w:val="00384531"/>
    <w:rsid w:val="0038487D"/>
    <w:rsid w:val="00384FFB"/>
    <w:rsid w:val="003850B1"/>
    <w:rsid w:val="003862D1"/>
    <w:rsid w:val="0038663D"/>
    <w:rsid w:val="003866E6"/>
    <w:rsid w:val="0038719F"/>
    <w:rsid w:val="003901C8"/>
    <w:rsid w:val="00390A80"/>
    <w:rsid w:val="00390AEA"/>
    <w:rsid w:val="00390ED6"/>
    <w:rsid w:val="003920DA"/>
    <w:rsid w:val="00393086"/>
    <w:rsid w:val="00393161"/>
    <w:rsid w:val="003931BD"/>
    <w:rsid w:val="003931E4"/>
    <w:rsid w:val="00393440"/>
    <w:rsid w:val="003936E3"/>
    <w:rsid w:val="00393842"/>
    <w:rsid w:val="00393C9A"/>
    <w:rsid w:val="00394097"/>
    <w:rsid w:val="00394DAF"/>
    <w:rsid w:val="00394F08"/>
    <w:rsid w:val="003952C0"/>
    <w:rsid w:val="003953FE"/>
    <w:rsid w:val="00396521"/>
    <w:rsid w:val="00396C5E"/>
    <w:rsid w:val="00396F61"/>
    <w:rsid w:val="00397552"/>
    <w:rsid w:val="00397F4B"/>
    <w:rsid w:val="003A11C5"/>
    <w:rsid w:val="003A1385"/>
    <w:rsid w:val="003A1E69"/>
    <w:rsid w:val="003A2334"/>
    <w:rsid w:val="003A2468"/>
    <w:rsid w:val="003A3837"/>
    <w:rsid w:val="003A3AE7"/>
    <w:rsid w:val="003A4656"/>
    <w:rsid w:val="003A4D80"/>
    <w:rsid w:val="003A4E53"/>
    <w:rsid w:val="003A50CD"/>
    <w:rsid w:val="003A51A5"/>
    <w:rsid w:val="003A5BBD"/>
    <w:rsid w:val="003A5C8F"/>
    <w:rsid w:val="003A5EC0"/>
    <w:rsid w:val="003A67F9"/>
    <w:rsid w:val="003A6BF3"/>
    <w:rsid w:val="003A767E"/>
    <w:rsid w:val="003A7A4D"/>
    <w:rsid w:val="003B05EB"/>
    <w:rsid w:val="003B1615"/>
    <w:rsid w:val="003B20FD"/>
    <w:rsid w:val="003B2517"/>
    <w:rsid w:val="003B2D24"/>
    <w:rsid w:val="003B2D3A"/>
    <w:rsid w:val="003B300A"/>
    <w:rsid w:val="003B30A8"/>
    <w:rsid w:val="003B3202"/>
    <w:rsid w:val="003B38AC"/>
    <w:rsid w:val="003B3DCD"/>
    <w:rsid w:val="003B459E"/>
    <w:rsid w:val="003B51D8"/>
    <w:rsid w:val="003B5476"/>
    <w:rsid w:val="003B5FD2"/>
    <w:rsid w:val="003B6283"/>
    <w:rsid w:val="003B6FB1"/>
    <w:rsid w:val="003B755E"/>
    <w:rsid w:val="003B7B66"/>
    <w:rsid w:val="003B7EDD"/>
    <w:rsid w:val="003C1626"/>
    <w:rsid w:val="003C2F95"/>
    <w:rsid w:val="003C3361"/>
    <w:rsid w:val="003C3558"/>
    <w:rsid w:val="003C414B"/>
    <w:rsid w:val="003C4EA1"/>
    <w:rsid w:val="003C5688"/>
    <w:rsid w:val="003C594E"/>
    <w:rsid w:val="003C5D57"/>
    <w:rsid w:val="003C5DAD"/>
    <w:rsid w:val="003C600F"/>
    <w:rsid w:val="003C7C9B"/>
    <w:rsid w:val="003D02F4"/>
    <w:rsid w:val="003D14A3"/>
    <w:rsid w:val="003D1507"/>
    <w:rsid w:val="003D29CC"/>
    <w:rsid w:val="003D2BFD"/>
    <w:rsid w:val="003D2F88"/>
    <w:rsid w:val="003D44B2"/>
    <w:rsid w:val="003D48D0"/>
    <w:rsid w:val="003D4A7A"/>
    <w:rsid w:val="003D4D43"/>
    <w:rsid w:val="003D56D9"/>
    <w:rsid w:val="003D66F5"/>
    <w:rsid w:val="003D6E4B"/>
    <w:rsid w:val="003D733C"/>
    <w:rsid w:val="003D7E80"/>
    <w:rsid w:val="003E0BC5"/>
    <w:rsid w:val="003E0D91"/>
    <w:rsid w:val="003E1C00"/>
    <w:rsid w:val="003E20D6"/>
    <w:rsid w:val="003E2AD1"/>
    <w:rsid w:val="003E2BB2"/>
    <w:rsid w:val="003E3635"/>
    <w:rsid w:val="003E4791"/>
    <w:rsid w:val="003E4B60"/>
    <w:rsid w:val="003E62FD"/>
    <w:rsid w:val="003E79DA"/>
    <w:rsid w:val="003E7A47"/>
    <w:rsid w:val="003F172A"/>
    <w:rsid w:val="003F33F3"/>
    <w:rsid w:val="003F354F"/>
    <w:rsid w:val="003F39A3"/>
    <w:rsid w:val="003F43E4"/>
    <w:rsid w:val="003F46A7"/>
    <w:rsid w:val="003F528B"/>
    <w:rsid w:val="003F5877"/>
    <w:rsid w:val="003F59EB"/>
    <w:rsid w:val="003F5AEF"/>
    <w:rsid w:val="003F5BB5"/>
    <w:rsid w:val="003F65B5"/>
    <w:rsid w:val="003F6CC2"/>
    <w:rsid w:val="003F7738"/>
    <w:rsid w:val="003F7CD2"/>
    <w:rsid w:val="003F7FD3"/>
    <w:rsid w:val="004001FB"/>
    <w:rsid w:val="00400280"/>
    <w:rsid w:val="00400C62"/>
    <w:rsid w:val="00400E71"/>
    <w:rsid w:val="00400F59"/>
    <w:rsid w:val="00401008"/>
    <w:rsid w:val="00401769"/>
    <w:rsid w:val="00401CBC"/>
    <w:rsid w:val="00402B3C"/>
    <w:rsid w:val="004041BE"/>
    <w:rsid w:val="00404A9D"/>
    <w:rsid w:val="00405671"/>
    <w:rsid w:val="00405D45"/>
    <w:rsid w:val="00405DD3"/>
    <w:rsid w:val="00406A27"/>
    <w:rsid w:val="00406B47"/>
    <w:rsid w:val="00406B61"/>
    <w:rsid w:val="00407863"/>
    <w:rsid w:val="004100C3"/>
    <w:rsid w:val="0041102E"/>
    <w:rsid w:val="00411514"/>
    <w:rsid w:val="004118C6"/>
    <w:rsid w:val="0041226A"/>
    <w:rsid w:val="004128CC"/>
    <w:rsid w:val="004143C6"/>
    <w:rsid w:val="00414C0E"/>
    <w:rsid w:val="00415FD9"/>
    <w:rsid w:val="00416074"/>
    <w:rsid w:val="004161CA"/>
    <w:rsid w:val="00416C81"/>
    <w:rsid w:val="0041753D"/>
    <w:rsid w:val="004203C8"/>
    <w:rsid w:val="004206BE"/>
    <w:rsid w:val="0042093C"/>
    <w:rsid w:val="00421A14"/>
    <w:rsid w:val="00422B65"/>
    <w:rsid w:val="00422DCB"/>
    <w:rsid w:val="00423154"/>
    <w:rsid w:val="00423229"/>
    <w:rsid w:val="0042348E"/>
    <w:rsid w:val="00423D2E"/>
    <w:rsid w:val="00424818"/>
    <w:rsid w:val="00425D33"/>
    <w:rsid w:val="0042768A"/>
    <w:rsid w:val="0043102A"/>
    <w:rsid w:val="004315B7"/>
    <w:rsid w:val="00431DD9"/>
    <w:rsid w:val="00431E03"/>
    <w:rsid w:val="00433FFC"/>
    <w:rsid w:val="004341A6"/>
    <w:rsid w:val="00434ECA"/>
    <w:rsid w:val="00435793"/>
    <w:rsid w:val="00435A81"/>
    <w:rsid w:val="00435DCB"/>
    <w:rsid w:val="004362C3"/>
    <w:rsid w:val="00436F9B"/>
    <w:rsid w:val="0043718C"/>
    <w:rsid w:val="00437975"/>
    <w:rsid w:val="0044080E"/>
    <w:rsid w:val="0044090F"/>
    <w:rsid w:val="0044133B"/>
    <w:rsid w:val="00442715"/>
    <w:rsid w:val="00442929"/>
    <w:rsid w:val="00442F6C"/>
    <w:rsid w:val="00443EDD"/>
    <w:rsid w:val="00443F38"/>
    <w:rsid w:val="00444567"/>
    <w:rsid w:val="004450E1"/>
    <w:rsid w:val="00445986"/>
    <w:rsid w:val="004463B9"/>
    <w:rsid w:val="00446894"/>
    <w:rsid w:val="004479D5"/>
    <w:rsid w:val="0045083B"/>
    <w:rsid w:val="00450C40"/>
    <w:rsid w:val="0045105C"/>
    <w:rsid w:val="004513CC"/>
    <w:rsid w:val="0045184B"/>
    <w:rsid w:val="004519B0"/>
    <w:rsid w:val="00451D9B"/>
    <w:rsid w:val="00451F35"/>
    <w:rsid w:val="004528BE"/>
    <w:rsid w:val="00453BF9"/>
    <w:rsid w:val="004540B5"/>
    <w:rsid w:val="00454537"/>
    <w:rsid w:val="00454B8D"/>
    <w:rsid w:val="00454D33"/>
    <w:rsid w:val="00454E67"/>
    <w:rsid w:val="00455467"/>
    <w:rsid w:val="0045551E"/>
    <w:rsid w:val="00455947"/>
    <w:rsid w:val="00455A7D"/>
    <w:rsid w:val="00455EB8"/>
    <w:rsid w:val="00456185"/>
    <w:rsid w:val="00456767"/>
    <w:rsid w:val="00456912"/>
    <w:rsid w:val="00456C9E"/>
    <w:rsid w:val="00457237"/>
    <w:rsid w:val="00457380"/>
    <w:rsid w:val="004573AB"/>
    <w:rsid w:val="00457C9B"/>
    <w:rsid w:val="00457DBA"/>
    <w:rsid w:val="004602EB"/>
    <w:rsid w:val="004618A2"/>
    <w:rsid w:val="004618C0"/>
    <w:rsid w:val="004618CA"/>
    <w:rsid w:val="00461C5C"/>
    <w:rsid w:val="00461DCB"/>
    <w:rsid w:val="00462B84"/>
    <w:rsid w:val="00462BCD"/>
    <w:rsid w:val="00462CDE"/>
    <w:rsid w:val="0046429B"/>
    <w:rsid w:val="0046435A"/>
    <w:rsid w:val="004646EF"/>
    <w:rsid w:val="00464A2D"/>
    <w:rsid w:val="00464D90"/>
    <w:rsid w:val="0046585F"/>
    <w:rsid w:val="00467924"/>
    <w:rsid w:val="00467D3B"/>
    <w:rsid w:val="0047036F"/>
    <w:rsid w:val="004712F8"/>
    <w:rsid w:val="004713BC"/>
    <w:rsid w:val="00471C3E"/>
    <w:rsid w:val="00471DB7"/>
    <w:rsid w:val="00472759"/>
    <w:rsid w:val="00472C8D"/>
    <w:rsid w:val="0047359A"/>
    <w:rsid w:val="00473632"/>
    <w:rsid w:val="00473E05"/>
    <w:rsid w:val="0047405C"/>
    <w:rsid w:val="0047466D"/>
    <w:rsid w:val="00474D68"/>
    <w:rsid w:val="004754F2"/>
    <w:rsid w:val="00476D2B"/>
    <w:rsid w:val="00477552"/>
    <w:rsid w:val="00480595"/>
    <w:rsid w:val="00480C64"/>
    <w:rsid w:val="00480CC9"/>
    <w:rsid w:val="00481BD6"/>
    <w:rsid w:val="0048212B"/>
    <w:rsid w:val="00482134"/>
    <w:rsid w:val="00482F68"/>
    <w:rsid w:val="00482F6D"/>
    <w:rsid w:val="004830F2"/>
    <w:rsid w:val="00483476"/>
    <w:rsid w:val="0048348E"/>
    <w:rsid w:val="00483FCF"/>
    <w:rsid w:val="0048417E"/>
    <w:rsid w:val="004842C5"/>
    <w:rsid w:val="0048494B"/>
    <w:rsid w:val="00484CAE"/>
    <w:rsid w:val="004857CA"/>
    <w:rsid w:val="00485AAF"/>
    <w:rsid w:val="004863D2"/>
    <w:rsid w:val="00486891"/>
    <w:rsid w:val="00486C5D"/>
    <w:rsid w:val="00486DBD"/>
    <w:rsid w:val="004873BA"/>
    <w:rsid w:val="004879BB"/>
    <w:rsid w:val="00487B7A"/>
    <w:rsid w:val="00487BFD"/>
    <w:rsid w:val="00490738"/>
    <w:rsid w:val="0049228B"/>
    <w:rsid w:val="0049273C"/>
    <w:rsid w:val="00493182"/>
    <w:rsid w:val="00494601"/>
    <w:rsid w:val="00494C21"/>
    <w:rsid w:val="00494E57"/>
    <w:rsid w:val="00496C6D"/>
    <w:rsid w:val="00496E0E"/>
    <w:rsid w:val="004974EE"/>
    <w:rsid w:val="004A0640"/>
    <w:rsid w:val="004A07B3"/>
    <w:rsid w:val="004A08A1"/>
    <w:rsid w:val="004A0D33"/>
    <w:rsid w:val="004A1B02"/>
    <w:rsid w:val="004A2490"/>
    <w:rsid w:val="004A2F01"/>
    <w:rsid w:val="004A389D"/>
    <w:rsid w:val="004A3C06"/>
    <w:rsid w:val="004A4312"/>
    <w:rsid w:val="004A4C42"/>
    <w:rsid w:val="004A538E"/>
    <w:rsid w:val="004A5765"/>
    <w:rsid w:val="004A58FC"/>
    <w:rsid w:val="004A5C2E"/>
    <w:rsid w:val="004A6182"/>
    <w:rsid w:val="004A685D"/>
    <w:rsid w:val="004A6E97"/>
    <w:rsid w:val="004A77B4"/>
    <w:rsid w:val="004A77E4"/>
    <w:rsid w:val="004A7CC3"/>
    <w:rsid w:val="004A7D55"/>
    <w:rsid w:val="004A7E8F"/>
    <w:rsid w:val="004A7F13"/>
    <w:rsid w:val="004B090B"/>
    <w:rsid w:val="004B0A3B"/>
    <w:rsid w:val="004B1236"/>
    <w:rsid w:val="004B149F"/>
    <w:rsid w:val="004B1C5C"/>
    <w:rsid w:val="004B2626"/>
    <w:rsid w:val="004B27FD"/>
    <w:rsid w:val="004B2B11"/>
    <w:rsid w:val="004B2C95"/>
    <w:rsid w:val="004B3912"/>
    <w:rsid w:val="004B4D17"/>
    <w:rsid w:val="004B5BA9"/>
    <w:rsid w:val="004B5F22"/>
    <w:rsid w:val="004B6047"/>
    <w:rsid w:val="004B60BF"/>
    <w:rsid w:val="004B6330"/>
    <w:rsid w:val="004B6A5A"/>
    <w:rsid w:val="004B6DB1"/>
    <w:rsid w:val="004C0344"/>
    <w:rsid w:val="004C09D1"/>
    <w:rsid w:val="004C0A82"/>
    <w:rsid w:val="004C10E0"/>
    <w:rsid w:val="004C1C23"/>
    <w:rsid w:val="004C1D93"/>
    <w:rsid w:val="004C2563"/>
    <w:rsid w:val="004C25A3"/>
    <w:rsid w:val="004C28AB"/>
    <w:rsid w:val="004C31CD"/>
    <w:rsid w:val="004C3FD1"/>
    <w:rsid w:val="004C4CA8"/>
    <w:rsid w:val="004C4D3D"/>
    <w:rsid w:val="004C5B71"/>
    <w:rsid w:val="004C5ED6"/>
    <w:rsid w:val="004C5F3B"/>
    <w:rsid w:val="004C6300"/>
    <w:rsid w:val="004C6A5F"/>
    <w:rsid w:val="004C6E88"/>
    <w:rsid w:val="004C741D"/>
    <w:rsid w:val="004C78E3"/>
    <w:rsid w:val="004D15A8"/>
    <w:rsid w:val="004D163F"/>
    <w:rsid w:val="004D1D71"/>
    <w:rsid w:val="004D286D"/>
    <w:rsid w:val="004D35A5"/>
    <w:rsid w:val="004D39AF"/>
    <w:rsid w:val="004D409F"/>
    <w:rsid w:val="004D45BA"/>
    <w:rsid w:val="004D495B"/>
    <w:rsid w:val="004D4CFF"/>
    <w:rsid w:val="004D4ED8"/>
    <w:rsid w:val="004D5B41"/>
    <w:rsid w:val="004D5E4F"/>
    <w:rsid w:val="004D70EE"/>
    <w:rsid w:val="004D7239"/>
    <w:rsid w:val="004D79A7"/>
    <w:rsid w:val="004E120D"/>
    <w:rsid w:val="004E12A3"/>
    <w:rsid w:val="004E1623"/>
    <w:rsid w:val="004E2F6F"/>
    <w:rsid w:val="004E444A"/>
    <w:rsid w:val="004E44B8"/>
    <w:rsid w:val="004E485A"/>
    <w:rsid w:val="004E4CEE"/>
    <w:rsid w:val="004E4D7B"/>
    <w:rsid w:val="004E5273"/>
    <w:rsid w:val="004E54D5"/>
    <w:rsid w:val="004E581B"/>
    <w:rsid w:val="004F008E"/>
    <w:rsid w:val="004F2527"/>
    <w:rsid w:val="004F2C2D"/>
    <w:rsid w:val="004F33DE"/>
    <w:rsid w:val="004F3590"/>
    <w:rsid w:val="004F3D6B"/>
    <w:rsid w:val="004F4D76"/>
    <w:rsid w:val="004F4F4B"/>
    <w:rsid w:val="004F53A4"/>
    <w:rsid w:val="004F556F"/>
    <w:rsid w:val="004F608B"/>
    <w:rsid w:val="004F65A9"/>
    <w:rsid w:val="004F6626"/>
    <w:rsid w:val="004F6B5D"/>
    <w:rsid w:val="004F779B"/>
    <w:rsid w:val="004F792E"/>
    <w:rsid w:val="005000C2"/>
    <w:rsid w:val="005003EE"/>
    <w:rsid w:val="0050073B"/>
    <w:rsid w:val="00500FD0"/>
    <w:rsid w:val="00501283"/>
    <w:rsid w:val="00501761"/>
    <w:rsid w:val="005022AB"/>
    <w:rsid w:val="00502591"/>
    <w:rsid w:val="00503223"/>
    <w:rsid w:val="00503264"/>
    <w:rsid w:val="005036BB"/>
    <w:rsid w:val="0050384C"/>
    <w:rsid w:val="0050441D"/>
    <w:rsid w:val="00504539"/>
    <w:rsid w:val="0050607A"/>
    <w:rsid w:val="00506AB8"/>
    <w:rsid w:val="00506CCD"/>
    <w:rsid w:val="00506F22"/>
    <w:rsid w:val="0050701F"/>
    <w:rsid w:val="00510022"/>
    <w:rsid w:val="005101F3"/>
    <w:rsid w:val="00511A14"/>
    <w:rsid w:val="005127C8"/>
    <w:rsid w:val="00512AB9"/>
    <w:rsid w:val="005130BF"/>
    <w:rsid w:val="0051358E"/>
    <w:rsid w:val="005144A7"/>
    <w:rsid w:val="00514B82"/>
    <w:rsid w:val="00514CFF"/>
    <w:rsid w:val="00515F1D"/>
    <w:rsid w:val="0051767D"/>
    <w:rsid w:val="005177B5"/>
    <w:rsid w:val="00521D2C"/>
    <w:rsid w:val="0052249A"/>
    <w:rsid w:val="005228E7"/>
    <w:rsid w:val="00523622"/>
    <w:rsid w:val="005239C2"/>
    <w:rsid w:val="00524A76"/>
    <w:rsid w:val="0052529C"/>
    <w:rsid w:val="005252AE"/>
    <w:rsid w:val="0052549F"/>
    <w:rsid w:val="005256A8"/>
    <w:rsid w:val="00525A82"/>
    <w:rsid w:val="00525AC5"/>
    <w:rsid w:val="00526307"/>
    <w:rsid w:val="00527565"/>
    <w:rsid w:val="0053018B"/>
    <w:rsid w:val="00530FFA"/>
    <w:rsid w:val="00531214"/>
    <w:rsid w:val="00531869"/>
    <w:rsid w:val="00531A3F"/>
    <w:rsid w:val="005326DE"/>
    <w:rsid w:val="00533427"/>
    <w:rsid w:val="00533639"/>
    <w:rsid w:val="00533C0E"/>
    <w:rsid w:val="005340B7"/>
    <w:rsid w:val="005352C2"/>
    <w:rsid w:val="0053589F"/>
    <w:rsid w:val="00536233"/>
    <w:rsid w:val="00536314"/>
    <w:rsid w:val="005363A7"/>
    <w:rsid w:val="005406FB"/>
    <w:rsid w:val="0054126D"/>
    <w:rsid w:val="00541294"/>
    <w:rsid w:val="005412E5"/>
    <w:rsid w:val="00541474"/>
    <w:rsid w:val="005416B3"/>
    <w:rsid w:val="0054244F"/>
    <w:rsid w:val="00542B00"/>
    <w:rsid w:val="00543258"/>
    <w:rsid w:val="005433FA"/>
    <w:rsid w:val="0054396D"/>
    <w:rsid w:val="00544172"/>
    <w:rsid w:val="00544350"/>
    <w:rsid w:val="00544649"/>
    <w:rsid w:val="00544BE5"/>
    <w:rsid w:val="0054540D"/>
    <w:rsid w:val="0054619D"/>
    <w:rsid w:val="00547FC6"/>
    <w:rsid w:val="0055001C"/>
    <w:rsid w:val="005500AD"/>
    <w:rsid w:val="005500D1"/>
    <w:rsid w:val="00551889"/>
    <w:rsid w:val="00552E25"/>
    <w:rsid w:val="00552F18"/>
    <w:rsid w:val="00553413"/>
    <w:rsid w:val="005540C8"/>
    <w:rsid w:val="005543A0"/>
    <w:rsid w:val="0055478E"/>
    <w:rsid w:val="0055494F"/>
    <w:rsid w:val="005549F6"/>
    <w:rsid w:val="00554D13"/>
    <w:rsid w:val="00554D36"/>
    <w:rsid w:val="005554A7"/>
    <w:rsid w:val="00555769"/>
    <w:rsid w:val="005570B7"/>
    <w:rsid w:val="00557483"/>
    <w:rsid w:val="00557CC1"/>
    <w:rsid w:val="00557FD9"/>
    <w:rsid w:val="0056014B"/>
    <w:rsid w:val="005602E9"/>
    <w:rsid w:val="005606F8"/>
    <w:rsid w:val="00561138"/>
    <w:rsid w:val="0056170F"/>
    <w:rsid w:val="00561983"/>
    <w:rsid w:val="00563299"/>
    <w:rsid w:val="00563C33"/>
    <w:rsid w:val="00563CEA"/>
    <w:rsid w:val="00564524"/>
    <w:rsid w:val="005648E6"/>
    <w:rsid w:val="00564E0B"/>
    <w:rsid w:val="00565338"/>
    <w:rsid w:val="005656FE"/>
    <w:rsid w:val="0056593E"/>
    <w:rsid w:val="00565D56"/>
    <w:rsid w:val="005660CA"/>
    <w:rsid w:val="00566359"/>
    <w:rsid w:val="005667AD"/>
    <w:rsid w:val="00566DCD"/>
    <w:rsid w:val="0056736A"/>
    <w:rsid w:val="00567547"/>
    <w:rsid w:val="005677FE"/>
    <w:rsid w:val="005678D8"/>
    <w:rsid w:val="00567B0E"/>
    <w:rsid w:val="00567E15"/>
    <w:rsid w:val="00570B4A"/>
    <w:rsid w:val="00571103"/>
    <w:rsid w:val="00571116"/>
    <w:rsid w:val="00571750"/>
    <w:rsid w:val="00571AC7"/>
    <w:rsid w:val="00572274"/>
    <w:rsid w:val="00572549"/>
    <w:rsid w:val="00572557"/>
    <w:rsid w:val="005728B0"/>
    <w:rsid w:val="00572FCC"/>
    <w:rsid w:val="005733FE"/>
    <w:rsid w:val="005734B6"/>
    <w:rsid w:val="00573ED8"/>
    <w:rsid w:val="00574830"/>
    <w:rsid w:val="00574952"/>
    <w:rsid w:val="00574DAA"/>
    <w:rsid w:val="00575A90"/>
    <w:rsid w:val="00575B7B"/>
    <w:rsid w:val="00575FC1"/>
    <w:rsid w:val="0057646E"/>
    <w:rsid w:val="00576D82"/>
    <w:rsid w:val="00577BBF"/>
    <w:rsid w:val="00577F29"/>
    <w:rsid w:val="00577FED"/>
    <w:rsid w:val="005807E9"/>
    <w:rsid w:val="00582179"/>
    <w:rsid w:val="00583190"/>
    <w:rsid w:val="005831CC"/>
    <w:rsid w:val="00583757"/>
    <w:rsid w:val="005838DB"/>
    <w:rsid w:val="00584710"/>
    <w:rsid w:val="00584744"/>
    <w:rsid w:val="00584F8E"/>
    <w:rsid w:val="00585083"/>
    <w:rsid w:val="0058609C"/>
    <w:rsid w:val="00586513"/>
    <w:rsid w:val="00586E22"/>
    <w:rsid w:val="00586E3B"/>
    <w:rsid w:val="005870C6"/>
    <w:rsid w:val="005871CE"/>
    <w:rsid w:val="00587AE4"/>
    <w:rsid w:val="00590027"/>
    <w:rsid w:val="00590A58"/>
    <w:rsid w:val="0059175A"/>
    <w:rsid w:val="00591B89"/>
    <w:rsid w:val="00591CE7"/>
    <w:rsid w:val="00592797"/>
    <w:rsid w:val="005934CF"/>
    <w:rsid w:val="00593DC0"/>
    <w:rsid w:val="0059538B"/>
    <w:rsid w:val="005959A8"/>
    <w:rsid w:val="00595C7C"/>
    <w:rsid w:val="00596F44"/>
    <w:rsid w:val="00597871"/>
    <w:rsid w:val="00597D8F"/>
    <w:rsid w:val="005A03E6"/>
    <w:rsid w:val="005A0522"/>
    <w:rsid w:val="005A08A2"/>
    <w:rsid w:val="005A0BF1"/>
    <w:rsid w:val="005A135C"/>
    <w:rsid w:val="005A16F3"/>
    <w:rsid w:val="005A180D"/>
    <w:rsid w:val="005A2329"/>
    <w:rsid w:val="005A2540"/>
    <w:rsid w:val="005A2B7A"/>
    <w:rsid w:val="005A356D"/>
    <w:rsid w:val="005A3917"/>
    <w:rsid w:val="005A3C36"/>
    <w:rsid w:val="005A5DDC"/>
    <w:rsid w:val="005A69CE"/>
    <w:rsid w:val="005A738D"/>
    <w:rsid w:val="005A78B5"/>
    <w:rsid w:val="005B04A9"/>
    <w:rsid w:val="005B0C77"/>
    <w:rsid w:val="005B10EA"/>
    <w:rsid w:val="005B1195"/>
    <w:rsid w:val="005B197C"/>
    <w:rsid w:val="005B1D94"/>
    <w:rsid w:val="005B1FEB"/>
    <w:rsid w:val="005B2AB7"/>
    <w:rsid w:val="005B2DFC"/>
    <w:rsid w:val="005B31AB"/>
    <w:rsid w:val="005B36B8"/>
    <w:rsid w:val="005B375D"/>
    <w:rsid w:val="005B3B34"/>
    <w:rsid w:val="005B4BDF"/>
    <w:rsid w:val="005B52BA"/>
    <w:rsid w:val="005B57A7"/>
    <w:rsid w:val="005B5A0E"/>
    <w:rsid w:val="005B5A40"/>
    <w:rsid w:val="005B5ECA"/>
    <w:rsid w:val="005B5ECD"/>
    <w:rsid w:val="005B646B"/>
    <w:rsid w:val="005B6657"/>
    <w:rsid w:val="005B7CED"/>
    <w:rsid w:val="005C0981"/>
    <w:rsid w:val="005C0B5C"/>
    <w:rsid w:val="005C0BC9"/>
    <w:rsid w:val="005C34E9"/>
    <w:rsid w:val="005C3879"/>
    <w:rsid w:val="005C46BB"/>
    <w:rsid w:val="005C4719"/>
    <w:rsid w:val="005C4973"/>
    <w:rsid w:val="005C4D5B"/>
    <w:rsid w:val="005C51E4"/>
    <w:rsid w:val="005C51E6"/>
    <w:rsid w:val="005C52CD"/>
    <w:rsid w:val="005C676A"/>
    <w:rsid w:val="005C6CD3"/>
    <w:rsid w:val="005C7839"/>
    <w:rsid w:val="005C7974"/>
    <w:rsid w:val="005C7C57"/>
    <w:rsid w:val="005C7D4D"/>
    <w:rsid w:val="005D01CC"/>
    <w:rsid w:val="005D0F77"/>
    <w:rsid w:val="005D10BC"/>
    <w:rsid w:val="005D2528"/>
    <w:rsid w:val="005D2A1E"/>
    <w:rsid w:val="005D2A61"/>
    <w:rsid w:val="005D3066"/>
    <w:rsid w:val="005D381B"/>
    <w:rsid w:val="005D49E8"/>
    <w:rsid w:val="005D62C1"/>
    <w:rsid w:val="005D67EF"/>
    <w:rsid w:val="005D6B3C"/>
    <w:rsid w:val="005D7389"/>
    <w:rsid w:val="005D7918"/>
    <w:rsid w:val="005D79A4"/>
    <w:rsid w:val="005D7AC6"/>
    <w:rsid w:val="005D7B3E"/>
    <w:rsid w:val="005E1E55"/>
    <w:rsid w:val="005E22EF"/>
    <w:rsid w:val="005E2593"/>
    <w:rsid w:val="005E2740"/>
    <w:rsid w:val="005E35F1"/>
    <w:rsid w:val="005E3643"/>
    <w:rsid w:val="005E41EC"/>
    <w:rsid w:val="005E4C8D"/>
    <w:rsid w:val="005E6C6D"/>
    <w:rsid w:val="005E6DC0"/>
    <w:rsid w:val="005E77DE"/>
    <w:rsid w:val="005E78D9"/>
    <w:rsid w:val="005F0030"/>
    <w:rsid w:val="005F0471"/>
    <w:rsid w:val="005F04C4"/>
    <w:rsid w:val="005F0C79"/>
    <w:rsid w:val="005F17DD"/>
    <w:rsid w:val="005F1AC6"/>
    <w:rsid w:val="005F20D5"/>
    <w:rsid w:val="005F238D"/>
    <w:rsid w:val="005F2399"/>
    <w:rsid w:val="005F29C1"/>
    <w:rsid w:val="005F2E36"/>
    <w:rsid w:val="005F3DF7"/>
    <w:rsid w:val="005F3E30"/>
    <w:rsid w:val="005F4127"/>
    <w:rsid w:val="005F438F"/>
    <w:rsid w:val="005F4761"/>
    <w:rsid w:val="005F478A"/>
    <w:rsid w:val="005F4E0B"/>
    <w:rsid w:val="005F4E26"/>
    <w:rsid w:val="005F5198"/>
    <w:rsid w:val="005F51BB"/>
    <w:rsid w:val="005F5FAF"/>
    <w:rsid w:val="005F6BAE"/>
    <w:rsid w:val="005F707B"/>
    <w:rsid w:val="005F72EC"/>
    <w:rsid w:val="005F78A8"/>
    <w:rsid w:val="0060120B"/>
    <w:rsid w:val="00601459"/>
    <w:rsid w:val="0060184E"/>
    <w:rsid w:val="006018DD"/>
    <w:rsid w:val="00601BFA"/>
    <w:rsid w:val="00601D6E"/>
    <w:rsid w:val="00601DF4"/>
    <w:rsid w:val="00602E2C"/>
    <w:rsid w:val="00602E69"/>
    <w:rsid w:val="00604D38"/>
    <w:rsid w:val="006052A6"/>
    <w:rsid w:val="00605417"/>
    <w:rsid w:val="00605BC4"/>
    <w:rsid w:val="00605DF2"/>
    <w:rsid w:val="006061E0"/>
    <w:rsid w:val="00606679"/>
    <w:rsid w:val="006072A5"/>
    <w:rsid w:val="00610624"/>
    <w:rsid w:val="00610FD7"/>
    <w:rsid w:val="0061157F"/>
    <w:rsid w:val="00611B9A"/>
    <w:rsid w:val="00611DCA"/>
    <w:rsid w:val="00611DE0"/>
    <w:rsid w:val="00611ED1"/>
    <w:rsid w:val="0061243E"/>
    <w:rsid w:val="00613ACA"/>
    <w:rsid w:val="00613F76"/>
    <w:rsid w:val="00614E99"/>
    <w:rsid w:val="00615865"/>
    <w:rsid w:val="00615EAA"/>
    <w:rsid w:val="00616F7A"/>
    <w:rsid w:val="00617F70"/>
    <w:rsid w:val="006200C2"/>
    <w:rsid w:val="00620461"/>
    <w:rsid w:val="0062091F"/>
    <w:rsid w:val="00621AD1"/>
    <w:rsid w:val="00621EAD"/>
    <w:rsid w:val="00622B20"/>
    <w:rsid w:val="00622B50"/>
    <w:rsid w:val="006239F3"/>
    <w:rsid w:val="00623C7E"/>
    <w:rsid w:val="006243A9"/>
    <w:rsid w:val="00625780"/>
    <w:rsid w:val="0062591E"/>
    <w:rsid w:val="00626068"/>
    <w:rsid w:val="006261C6"/>
    <w:rsid w:val="00626541"/>
    <w:rsid w:val="00626B52"/>
    <w:rsid w:val="00627BE0"/>
    <w:rsid w:val="00630720"/>
    <w:rsid w:val="00630900"/>
    <w:rsid w:val="00630BD8"/>
    <w:rsid w:val="0063197A"/>
    <w:rsid w:val="00631B41"/>
    <w:rsid w:val="00631D88"/>
    <w:rsid w:val="00632087"/>
    <w:rsid w:val="00632466"/>
    <w:rsid w:val="00632C80"/>
    <w:rsid w:val="00632C9C"/>
    <w:rsid w:val="00632F29"/>
    <w:rsid w:val="00633276"/>
    <w:rsid w:val="006332EF"/>
    <w:rsid w:val="00633399"/>
    <w:rsid w:val="0063482F"/>
    <w:rsid w:val="00634BD9"/>
    <w:rsid w:val="00635948"/>
    <w:rsid w:val="006365C2"/>
    <w:rsid w:val="006373A2"/>
    <w:rsid w:val="00637703"/>
    <w:rsid w:val="00637881"/>
    <w:rsid w:val="006378F5"/>
    <w:rsid w:val="00640D13"/>
    <w:rsid w:val="00641D2C"/>
    <w:rsid w:val="0064202A"/>
    <w:rsid w:val="00642248"/>
    <w:rsid w:val="006428A4"/>
    <w:rsid w:val="00643852"/>
    <w:rsid w:val="00643A05"/>
    <w:rsid w:val="00643C41"/>
    <w:rsid w:val="00645116"/>
    <w:rsid w:val="00645C1B"/>
    <w:rsid w:val="00645D55"/>
    <w:rsid w:val="00645F90"/>
    <w:rsid w:val="00646EEF"/>
    <w:rsid w:val="006472D3"/>
    <w:rsid w:val="0064772E"/>
    <w:rsid w:val="00647C70"/>
    <w:rsid w:val="0065071C"/>
    <w:rsid w:val="00651871"/>
    <w:rsid w:val="00651F72"/>
    <w:rsid w:val="00652947"/>
    <w:rsid w:val="006529C4"/>
    <w:rsid w:val="00652B18"/>
    <w:rsid w:val="006540B0"/>
    <w:rsid w:val="006549C5"/>
    <w:rsid w:val="0065558E"/>
    <w:rsid w:val="00655BA8"/>
    <w:rsid w:val="00656088"/>
    <w:rsid w:val="00656244"/>
    <w:rsid w:val="006563B8"/>
    <w:rsid w:val="0065653F"/>
    <w:rsid w:val="00656E48"/>
    <w:rsid w:val="00657637"/>
    <w:rsid w:val="00657E90"/>
    <w:rsid w:val="00660FC0"/>
    <w:rsid w:val="006629DF"/>
    <w:rsid w:val="0066380F"/>
    <w:rsid w:val="006648C2"/>
    <w:rsid w:val="00664984"/>
    <w:rsid w:val="00664CFA"/>
    <w:rsid w:val="00664E6A"/>
    <w:rsid w:val="00665087"/>
    <w:rsid w:val="006650AC"/>
    <w:rsid w:val="00665C2D"/>
    <w:rsid w:val="00665DB7"/>
    <w:rsid w:val="00666044"/>
    <w:rsid w:val="00666136"/>
    <w:rsid w:val="0066693E"/>
    <w:rsid w:val="00666AA0"/>
    <w:rsid w:val="0066713D"/>
    <w:rsid w:val="00667D0C"/>
    <w:rsid w:val="00667F0C"/>
    <w:rsid w:val="00667F84"/>
    <w:rsid w:val="00667FB4"/>
    <w:rsid w:val="00671947"/>
    <w:rsid w:val="00672FFD"/>
    <w:rsid w:val="006731E0"/>
    <w:rsid w:val="0067320A"/>
    <w:rsid w:val="006735D7"/>
    <w:rsid w:val="006745E2"/>
    <w:rsid w:val="006753AA"/>
    <w:rsid w:val="00675C24"/>
    <w:rsid w:val="00675C93"/>
    <w:rsid w:val="00676182"/>
    <w:rsid w:val="00676673"/>
    <w:rsid w:val="00677834"/>
    <w:rsid w:val="0068204F"/>
    <w:rsid w:val="0068317D"/>
    <w:rsid w:val="006832BF"/>
    <w:rsid w:val="00683467"/>
    <w:rsid w:val="00683C3D"/>
    <w:rsid w:val="00683DB5"/>
    <w:rsid w:val="00683F5C"/>
    <w:rsid w:val="00684033"/>
    <w:rsid w:val="0068462A"/>
    <w:rsid w:val="00684ABB"/>
    <w:rsid w:val="00686393"/>
    <w:rsid w:val="00686668"/>
    <w:rsid w:val="006868A6"/>
    <w:rsid w:val="00686B07"/>
    <w:rsid w:val="00686F82"/>
    <w:rsid w:val="00687080"/>
    <w:rsid w:val="0068730A"/>
    <w:rsid w:val="006875B6"/>
    <w:rsid w:val="00687F1B"/>
    <w:rsid w:val="006913F2"/>
    <w:rsid w:val="00692103"/>
    <w:rsid w:val="0069266F"/>
    <w:rsid w:val="00692694"/>
    <w:rsid w:val="00692E40"/>
    <w:rsid w:val="00693278"/>
    <w:rsid w:val="006935A7"/>
    <w:rsid w:val="00693614"/>
    <w:rsid w:val="00693B88"/>
    <w:rsid w:val="0069412B"/>
    <w:rsid w:val="0069440D"/>
    <w:rsid w:val="0069490A"/>
    <w:rsid w:val="00694989"/>
    <w:rsid w:val="00694B9D"/>
    <w:rsid w:val="00694C0A"/>
    <w:rsid w:val="00694F25"/>
    <w:rsid w:val="00695F10"/>
    <w:rsid w:val="00696AF1"/>
    <w:rsid w:val="00696D76"/>
    <w:rsid w:val="00697563"/>
    <w:rsid w:val="00697F7F"/>
    <w:rsid w:val="006A228D"/>
    <w:rsid w:val="006A267C"/>
    <w:rsid w:val="006A317B"/>
    <w:rsid w:val="006A32A4"/>
    <w:rsid w:val="006A38C7"/>
    <w:rsid w:val="006A427E"/>
    <w:rsid w:val="006A4666"/>
    <w:rsid w:val="006A5227"/>
    <w:rsid w:val="006A52CA"/>
    <w:rsid w:val="006A57D4"/>
    <w:rsid w:val="006A5B91"/>
    <w:rsid w:val="006A65B8"/>
    <w:rsid w:val="006A6763"/>
    <w:rsid w:val="006A687D"/>
    <w:rsid w:val="006A6EF3"/>
    <w:rsid w:val="006A751D"/>
    <w:rsid w:val="006A7C70"/>
    <w:rsid w:val="006B016D"/>
    <w:rsid w:val="006B0431"/>
    <w:rsid w:val="006B0EA1"/>
    <w:rsid w:val="006B0EC5"/>
    <w:rsid w:val="006B10BD"/>
    <w:rsid w:val="006B1907"/>
    <w:rsid w:val="006B1BA3"/>
    <w:rsid w:val="006B2408"/>
    <w:rsid w:val="006B29E4"/>
    <w:rsid w:val="006B2D28"/>
    <w:rsid w:val="006B3227"/>
    <w:rsid w:val="006B34CB"/>
    <w:rsid w:val="006B36F2"/>
    <w:rsid w:val="006B3785"/>
    <w:rsid w:val="006B3824"/>
    <w:rsid w:val="006B3F17"/>
    <w:rsid w:val="006B437B"/>
    <w:rsid w:val="006B463B"/>
    <w:rsid w:val="006B479C"/>
    <w:rsid w:val="006B4C43"/>
    <w:rsid w:val="006B5AEC"/>
    <w:rsid w:val="006B5ECA"/>
    <w:rsid w:val="006B67E9"/>
    <w:rsid w:val="006B6A40"/>
    <w:rsid w:val="006C1690"/>
    <w:rsid w:val="006C2CFE"/>
    <w:rsid w:val="006C3299"/>
    <w:rsid w:val="006C32CE"/>
    <w:rsid w:val="006C4BF6"/>
    <w:rsid w:val="006C4F87"/>
    <w:rsid w:val="006C5A9B"/>
    <w:rsid w:val="006C7AF9"/>
    <w:rsid w:val="006D173D"/>
    <w:rsid w:val="006D1A88"/>
    <w:rsid w:val="006D20CE"/>
    <w:rsid w:val="006D2496"/>
    <w:rsid w:val="006D24E5"/>
    <w:rsid w:val="006D2AA0"/>
    <w:rsid w:val="006D2F8E"/>
    <w:rsid w:val="006D30A5"/>
    <w:rsid w:val="006D3547"/>
    <w:rsid w:val="006D42DB"/>
    <w:rsid w:val="006D4617"/>
    <w:rsid w:val="006D4716"/>
    <w:rsid w:val="006D5764"/>
    <w:rsid w:val="006D6B37"/>
    <w:rsid w:val="006D6D58"/>
    <w:rsid w:val="006D78DB"/>
    <w:rsid w:val="006D7C8E"/>
    <w:rsid w:val="006E02C9"/>
    <w:rsid w:val="006E062A"/>
    <w:rsid w:val="006E0D5C"/>
    <w:rsid w:val="006E10DD"/>
    <w:rsid w:val="006E1131"/>
    <w:rsid w:val="006E1ED3"/>
    <w:rsid w:val="006E23C9"/>
    <w:rsid w:val="006E2878"/>
    <w:rsid w:val="006E32E4"/>
    <w:rsid w:val="006E3C51"/>
    <w:rsid w:val="006E4757"/>
    <w:rsid w:val="006E4B25"/>
    <w:rsid w:val="006E566A"/>
    <w:rsid w:val="006E596B"/>
    <w:rsid w:val="006E647B"/>
    <w:rsid w:val="006E6D66"/>
    <w:rsid w:val="006E7B1E"/>
    <w:rsid w:val="006F087A"/>
    <w:rsid w:val="006F0D09"/>
    <w:rsid w:val="006F0FEC"/>
    <w:rsid w:val="006F1427"/>
    <w:rsid w:val="006F188C"/>
    <w:rsid w:val="006F2494"/>
    <w:rsid w:val="006F2496"/>
    <w:rsid w:val="006F3300"/>
    <w:rsid w:val="006F3D2A"/>
    <w:rsid w:val="006F3F01"/>
    <w:rsid w:val="006F41E9"/>
    <w:rsid w:val="006F4DAD"/>
    <w:rsid w:val="006F5CEF"/>
    <w:rsid w:val="006F67F3"/>
    <w:rsid w:val="006F6919"/>
    <w:rsid w:val="006F6980"/>
    <w:rsid w:val="006F6A08"/>
    <w:rsid w:val="006F6AE3"/>
    <w:rsid w:val="006F742C"/>
    <w:rsid w:val="006F74FC"/>
    <w:rsid w:val="006F7B7A"/>
    <w:rsid w:val="006F7C74"/>
    <w:rsid w:val="00700C2B"/>
    <w:rsid w:val="00701036"/>
    <w:rsid w:val="00701106"/>
    <w:rsid w:val="007018CE"/>
    <w:rsid w:val="0070191D"/>
    <w:rsid w:val="007020AC"/>
    <w:rsid w:val="00702336"/>
    <w:rsid w:val="00702D46"/>
    <w:rsid w:val="007036F5"/>
    <w:rsid w:val="00703CFB"/>
    <w:rsid w:val="007041E1"/>
    <w:rsid w:val="00704805"/>
    <w:rsid w:val="00704E73"/>
    <w:rsid w:val="00704F79"/>
    <w:rsid w:val="00705A7B"/>
    <w:rsid w:val="007066E7"/>
    <w:rsid w:val="0070700F"/>
    <w:rsid w:val="007070EA"/>
    <w:rsid w:val="007073A6"/>
    <w:rsid w:val="007075C7"/>
    <w:rsid w:val="00707830"/>
    <w:rsid w:val="0071008A"/>
    <w:rsid w:val="00710BD6"/>
    <w:rsid w:val="00710CA4"/>
    <w:rsid w:val="0071184A"/>
    <w:rsid w:val="00712B4F"/>
    <w:rsid w:val="00712BB6"/>
    <w:rsid w:val="00712FE3"/>
    <w:rsid w:val="007133D4"/>
    <w:rsid w:val="007137C1"/>
    <w:rsid w:val="00714BCA"/>
    <w:rsid w:val="00714D1D"/>
    <w:rsid w:val="0071500C"/>
    <w:rsid w:val="00715CFF"/>
    <w:rsid w:val="00716C99"/>
    <w:rsid w:val="00717482"/>
    <w:rsid w:val="00717FFC"/>
    <w:rsid w:val="00720343"/>
    <w:rsid w:val="00720E92"/>
    <w:rsid w:val="00721742"/>
    <w:rsid w:val="00722967"/>
    <w:rsid w:val="0072339A"/>
    <w:rsid w:val="007235CC"/>
    <w:rsid w:val="007244EC"/>
    <w:rsid w:val="00724B1F"/>
    <w:rsid w:val="00724C2C"/>
    <w:rsid w:val="007251FF"/>
    <w:rsid w:val="007253B6"/>
    <w:rsid w:val="007259B5"/>
    <w:rsid w:val="00725AD9"/>
    <w:rsid w:val="00725CE8"/>
    <w:rsid w:val="00726036"/>
    <w:rsid w:val="0072611A"/>
    <w:rsid w:val="007261A0"/>
    <w:rsid w:val="007270D1"/>
    <w:rsid w:val="007277BA"/>
    <w:rsid w:val="00727E7E"/>
    <w:rsid w:val="00727E98"/>
    <w:rsid w:val="00730008"/>
    <w:rsid w:val="00731184"/>
    <w:rsid w:val="00731E08"/>
    <w:rsid w:val="00733067"/>
    <w:rsid w:val="00733305"/>
    <w:rsid w:val="00734367"/>
    <w:rsid w:val="00734632"/>
    <w:rsid w:val="00736354"/>
    <w:rsid w:val="00736893"/>
    <w:rsid w:val="00736AD8"/>
    <w:rsid w:val="00736F3F"/>
    <w:rsid w:val="007370F5"/>
    <w:rsid w:val="00737667"/>
    <w:rsid w:val="00737721"/>
    <w:rsid w:val="00737F99"/>
    <w:rsid w:val="0074066D"/>
    <w:rsid w:val="00740BA7"/>
    <w:rsid w:val="00740C63"/>
    <w:rsid w:val="00741387"/>
    <w:rsid w:val="00741560"/>
    <w:rsid w:val="007416B5"/>
    <w:rsid w:val="00741CF0"/>
    <w:rsid w:val="007428D1"/>
    <w:rsid w:val="00743EE9"/>
    <w:rsid w:val="0074421C"/>
    <w:rsid w:val="00745A0D"/>
    <w:rsid w:val="0074602F"/>
    <w:rsid w:val="0074604C"/>
    <w:rsid w:val="00746305"/>
    <w:rsid w:val="00746858"/>
    <w:rsid w:val="00746EFD"/>
    <w:rsid w:val="007476BD"/>
    <w:rsid w:val="00747F98"/>
    <w:rsid w:val="0075060E"/>
    <w:rsid w:val="007506C9"/>
    <w:rsid w:val="00750ED1"/>
    <w:rsid w:val="007510CE"/>
    <w:rsid w:val="00751ADD"/>
    <w:rsid w:val="00751EF5"/>
    <w:rsid w:val="00751EFF"/>
    <w:rsid w:val="00752481"/>
    <w:rsid w:val="007524CE"/>
    <w:rsid w:val="00752D3A"/>
    <w:rsid w:val="007544EF"/>
    <w:rsid w:val="00754B37"/>
    <w:rsid w:val="00755B3C"/>
    <w:rsid w:val="00755E9B"/>
    <w:rsid w:val="00756860"/>
    <w:rsid w:val="0075702F"/>
    <w:rsid w:val="007570EF"/>
    <w:rsid w:val="00757425"/>
    <w:rsid w:val="00757522"/>
    <w:rsid w:val="00757701"/>
    <w:rsid w:val="00757A56"/>
    <w:rsid w:val="007609D6"/>
    <w:rsid w:val="00760EE6"/>
    <w:rsid w:val="007618B6"/>
    <w:rsid w:val="00761AA8"/>
    <w:rsid w:val="0076272A"/>
    <w:rsid w:val="00762745"/>
    <w:rsid w:val="007627CE"/>
    <w:rsid w:val="007628E3"/>
    <w:rsid w:val="007632C0"/>
    <w:rsid w:val="00763480"/>
    <w:rsid w:val="007634C5"/>
    <w:rsid w:val="00763542"/>
    <w:rsid w:val="00763789"/>
    <w:rsid w:val="00765133"/>
    <w:rsid w:val="007663C6"/>
    <w:rsid w:val="00767161"/>
    <w:rsid w:val="007673CF"/>
    <w:rsid w:val="0077020C"/>
    <w:rsid w:val="0077082F"/>
    <w:rsid w:val="00770835"/>
    <w:rsid w:val="00770DA7"/>
    <w:rsid w:val="00770DD7"/>
    <w:rsid w:val="00770DEA"/>
    <w:rsid w:val="00771645"/>
    <w:rsid w:val="0077289D"/>
    <w:rsid w:val="00772AF4"/>
    <w:rsid w:val="00773304"/>
    <w:rsid w:val="0077336D"/>
    <w:rsid w:val="0077362B"/>
    <w:rsid w:val="007739B9"/>
    <w:rsid w:val="0077466D"/>
    <w:rsid w:val="007749EE"/>
    <w:rsid w:val="00774D25"/>
    <w:rsid w:val="00775376"/>
    <w:rsid w:val="00775601"/>
    <w:rsid w:val="00775BEF"/>
    <w:rsid w:val="007761EA"/>
    <w:rsid w:val="00776B34"/>
    <w:rsid w:val="00776D58"/>
    <w:rsid w:val="00777CF9"/>
    <w:rsid w:val="00777F68"/>
    <w:rsid w:val="00780431"/>
    <w:rsid w:val="007807FB"/>
    <w:rsid w:val="00780C43"/>
    <w:rsid w:val="007813C7"/>
    <w:rsid w:val="00781628"/>
    <w:rsid w:val="007818C1"/>
    <w:rsid w:val="0078241A"/>
    <w:rsid w:val="00782674"/>
    <w:rsid w:val="007828FC"/>
    <w:rsid w:val="00783DDC"/>
    <w:rsid w:val="00785EBC"/>
    <w:rsid w:val="007862B7"/>
    <w:rsid w:val="00787C09"/>
    <w:rsid w:val="00787DD4"/>
    <w:rsid w:val="007901D5"/>
    <w:rsid w:val="007904EF"/>
    <w:rsid w:val="00790961"/>
    <w:rsid w:val="00791349"/>
    <w:rsid w:val="007915A3"/>
    <w:rsid w:val="00791903"/>
    <w:rsid w:val="00791A16"/>
    <w:rsid w:val="00792591"/>
    <w:rsid w:val="00792907"/>
    <w:rsid w:val="00793D63"/>
    <w:rsid w:val="00794532"/>
    <w:rsid w:val="0079479B"/>
    <w:rsid w:val="00794D53"/>
    <w:rsid w:val="00795396"/>
    <w:rsid w:val="007964B6"/>
    <w:rsid w:val="00796593"/>
    <w:rsid w:val="00796B69"/>
    <w:rsid w:val="00796BEE"/>
    <w:rsid w:val="00796D9D"/>
    <w:rsid w:val="00796F6B"/>
    <w:rsid w:val="00797030"/>
    <w:rsid w:val="0079753E"/>
    <w:rsid w:val="00797863"/>
    <w:rsid w:val="00797D04"/>
    <w:rsid w:val="007A14B8"/>
    <w:rsid w:val="007A1BC2"/>
    <w:rsid w:val="007A1F1C"/>
    <w:rsid w:val="007A3310"/>
    <w:rsid w:val="007A36FD"/>
    <w:rsid w:val="007A3BCA"/>
    <w:rsid w:val="007A3D6C"/>
    <w:rsid w:val="007A4373"/>
    <w:rsid w:val="007A4414"/>
    <w:rsid w:val="007A5EB0"/>
    <w:rsid w:val="007A6CF1"/>
    <w:rsid w:val="007A6DBA"/>
    <w:rsid w:val="007A72B6"/>
    <w:rsid w:val="007A73C5"/>
    <w:rsid w:val="007A7B05"/>
    <w:rsid w:val="007B032A"/>
    <w:rsid w:val="007B043A"/>
    <w:rsid w:val="007B097E"/>
    <w:rsid w:val="007B0BEB"/>
    <w:rsid w:val="007B0FFC"/>
    <w:rsid w:val="007B13AB"/>
    <w:rsid w:val="007B18FB"/>
    <w:rsid w:val="007B285A"/>
    <w:rsid w:val="007B308F"/>
    <w:rsid w:val="007B321B"/>
    <w:rsid w:val="007B3D8D"/>
    <w:rsid w:val="007B45DD"/>
    <w:rsid w:val="007B5AA4"/>
    <w:rsid w:val="007B64F8"/>
    <w:rsid w:val="007B68B5"/>
    <w:rsid w:val="007B6CCE"/>
    <w:rsid w:val="007B7432"/>
    <w:rsid w:val="007B7A96"/>
    <w:rsid w:val="007C048B"/>
    <w:rsid w:val="007C08C6"/>
    <w:rsid w:val="007C118B"/>
    <w:rsid w:val="007C13E4"/>
    <w:rsid w:val="007C1848"/>
    <w:rsid w:val="007C184B"/>
    <w:rsid w:val="007C1C4C"/>
    <w:rsid w:val="007C2264"/>
    <w:rsid w:val="007C3762"/>
    <w:rsid w:val="007C42F5"/>
    <w:rsid w:val="007C4576"/>
    <w:rsid w:val="007C47D3"/>
    <w:rsid w:val="007C490E"/>
    <w:rsid w:val="007C4A31"/>
    <w:rsid w:val="007C4E66"/>
    <w:rsid w:val="007C55E9"/>
    <w:rsid w:val="007C59D8"/>
    <w:rsid w:val="007C5CBA"/>
    <w:rsid w:val="007C5DFA"/>
    <w:rsid w:val="007C6686"/>
    <w:rsid w:val="007C7127"/>
    <w:rsid w:val="007C719E"/>
    <w:rsid w:val="007C79D3"/>
    <w:rsid w:val="007C7A61"/>
    <w:rsid w:val="007C7D47"/>
    <w:rsid w:val="007D077E"/>
    <w:rsid w:val="007D0ECB"/>
    <w:rsid w:val="007D14DF"/>
    <w:rsid w:val="007D3515"/>
    <w:rsid w:val="007D423D"/>
    <w:rsid w:val="007D431B"/>
    <w:rsid w:val="007D442D"/>
    <w:rsid w:val="007D4A82"/>
    <w:rsid w:val="007D4BB6"/>
    <w:rsid w:val="007D4D23"/>
    <w:rsid w:val="007D5074"/>
    <w:rsid w:val="007D5727"/>
    <w:rsid w:val="007D59A9"/>
    <w:rsid w:val="007D5F17"/>
    <w:rsid w:val="007D6374"/>
    <w:rsid w:val="007D6605"/>
    <w:rsid w:val="007D6ABF"/>
    <w:rsid w:val="007D7463"/>
    <w:rsid w:val="007D7528"/>
    <w:rsid w:val="007D766E"/>
    <w:rsid w:val="007D7789"/>
    <w:rsid w:val="007D7A29"/>
    <w:rsid w:val="007E01C8"/>
    <w:rsid w:val="007E07F9"/>
    <w:rsid w:val="007E1628"/>
    <w:rsid w:val="007E1629"/>
    <w:rsid w:val="007E1833"/>
    <w:rsid w:val="007E1C1B"/>
    <w:rsid w:val="007E2343"/>
    <w:rsid w:val="007E2430"/>
    <w:rsid w:val="007E2D43"/>
    <w:rsid w:val="007E5050"/>
    <w:rsid w:val="007E55C8"/>
    <w:rsid w:val="007E5958"/>
    <w:rsid w:val="007E5B89"/>
    <w:rsid w:val="007E63D7"/>
    <w:rsid w:val="007E66B3"/>
    <w:rsid w:val="007E6FF5"/>
    <w:rsid w:val="007E734F"/>
    <w:rsid w:val="007E7BE8"/>
    <w:rsid w:val="007F0058"/>
    <w:rsid w:val="007F059A"/>
    <w:rsid w:val="007F05A6"/>
    <w:rsid w:val="007F0813"/>
    <w:rsid w:val="007F08C4"/>
    <w:rsid w:val="007F0CBA"/>
    <w:rsid w:val="007F2F91"/>
    <w:rsid w:val="007F2FC9"/>
    <w:rsid w:val="007F30D9"/>
    <w:rsid w:val="007F3831"/>
    <w:rsid w:val="007F4D40"/>
    <w:rsid w:val="007F4F2D"/>
    <w:rsid w:val="007F50B1"/>
    <w:rsid w:val="007F5148"/>
    <w:rsid w:val="007F6C49"/>
    <w:rsid w:val="007F7EF4"/>
    <w:rsid w:val="00800D85"/>
    <w:rsid w:val="00801034"/>
    <w:rsid w:val="0080123D"/>
    <w:rsid w:val="00801B88"/>
    <w:rsid w:val="008020CC"/>
    <w:rsid w:val="00802C98"/>
    <w:rsid w:val="008033B6"/>
    <w:rsid w:val="00803BAB"/>
    <w:rsid w:val="00804362"/>
    <w:rsid w:val="0080499E"/>
    <w:rsid w:val="00804D3C"/>
    <w:rsid w:val="00804D99"/>
    <w:rsid w:val="00805727"/>
    <w:rsid w:val="00806055"/>
    <w:rsid w:val="0080656A"/>
    <w:rsid w:val="00806ED5"/>
    <w:rsid w:val="00807213"/>
    <w:rsid w:val="008077A0"/>
    <w:rsid w:val="00807DD5"/>
    <w:rsid w:val="00807E78"/>
    <w:rsid w:val="008112BB"/>
    <w:rsid w:val="0081188D"/>
    <w:rsid w:val="00811ABC"/>
    <w:rsid w:val="00811D90"/>
    <w:rsid w:val="008121CE"/>
    <w:rsid w:val="008122C1"/>
    <w:rsid w:val="00812AE5"/>
    <w:rsid w:val="008136E2"/>
    <w:rsid w:val="008138F0"/>
    <w:rsid w:val="008138FF"/>
    <w:rsid w:val="008142A8"/>
    <w:rsid w:val="00814D9B"/>
    <w:rsid w:val="00814F55"/>
    <w:rsid w:val="00815305"/>
    <w:rsid w:val="00816588"/>
    <w:rsid w:val="00816FEF"/>
    <w:rsid w:val="0081700D"/>
    <w:rsid w:val="00817014"/>
    <w:rsid w:val="0081714D"/>
    <w:rsid w:val="00817524"/>
    <w:rsid w:val="008178DB"/>
    <w:rsid w:val="00817D91"/>
    <w:rsid w:val="0082046A"/>
    <w:rsid w:val="00820AF8"/>
    <w:rsid w:val="00820C5E"/>
    <w:rsid w:val="0082122D"/>
    <w:rsid w:val="008214BA"/>
    <w:rsid w:val="00821768"/>
    <w:rsid w:val="00821DE9"/>
    <w:rsid w:val="008221D5"/>
    <w:rsid w:val="00822BC4"/>
    <w:rsid w:val="00822C21"/>
    <w:rsid w:val="00822D8E"/>
    <w:rsid w:val="008230AC"/>
    <w:rsid w:val="008232FC"/>
    <w:rsid w:val="008236AE"/>
    <w:rsid w:val="00823DD8"/>
    <w:rsid w:val="00823FA3"/>
    <w:rsid w:val="0082450F"/>
    <w:rsid w:val="00824CE9"/>
    <w:rsid w:val="00825A7C"/>
    <w:rsid w:val="00825B12"/>
    <w:rsid w:val="0082650E"/>
    <w:rsid w:val="008276D4"/>
    <w:rsid w:val="00830920"/>
    <w:rsid w:val="00832191"/>
    <w:rsid w:val="00832984"/>
    <w:rsid w:val="0083339A"/>
    <w:rsid w:val="00833EAB"/>
    <w:rsid w:val="00833FF7"/>
    <w:rsid w:val="00834B59"/>
    <w:rsid w:val="00834BF3"/>
    <w:rsid w:val="008361C9"/>
    <w:rsid w:val="00836220"/>
    <w:rsid w:val="008362F9"/>
    <w:rsid w:val="00837876"/>
    <w:rsid w:val="00840167"/>
    <w:rsid w:val="008401F2"/>
    <w:rsid w:val="008403A1"/>
    <w:rsid w:val="00840700"/>
    <w:rsid w:val="0084162F"/>
    <w:rsid w:val="00841C4A"/>
    <w:rsid w:val="00842A66"/>
    <w:rsid w:val="008430D6"/>
    <w:rsid w:val="00843430"/>
    <w:rsid w:val="0084438F"/>
    <w:rsid w:val="008445B0"/>
    <w:rsid w:val="00844CAC"/>
    <w:rsid w:val="008456C6"/>
    <w:rsid w:val="0084582D"/>
    <w:rsid w:val="00846878"/>
    <w:rsid w:val="00850D67"/>
    <w:rsid w:val="00850FD9"/>
    <w:rsid w:val="00851176"/>
    <w:rsid w:val="008521A0"/>
    <w:rsid w:val="00852447"/>
    <w:rsid w:val="008525EA"/>
    <w:rsid w:val="008534D8"/>
    <w:rsid w:val="00853E5C"/>
    <w:rsid w:val="00853EEA"/>
    <w:rsid w:val="00854535"/>
    <w:rsid w:val="008545F0"/>
    <w:rsid w:val="00854AD6"/>
    <w:rsid w:val="0085628F"/>
    <w:rsid w:val="008566E9"/>
    <w:rsid w:val="008569F2"/>
    <w:rsid w:val="00857E53"/>
    <w:rsid w:val="008608FF"/>
    <w:rsid w:val="00861729"/>
    <w:rsid w:val="0086173C"/>
    <w:rsid w:val="008631FB"/>
    <w:rsid w:val="0086320B"/>
    <w:rsid w:val="00863C52"/>
    <w:rsid w:val="00863F0A"/>
    <w:rsid w:val="00864793"/>
    <w:rsid w:val="00864B32"/>
    <w:rsid w:val="00864EBD"/>
    <w:rsid w:val="008654C5"/>
    <w:rsid w:val="00865812"/>
    <w:rsid w:val="0086615C"/>
    <w:rsid w:val="00866A64"/>
    <w:rsid w:val="008679E3"/>
    <w:rsid w:val="00867F50"/>
    <w:rsid w:val="00871090"/>
    <w:rsid w:val="00871699"/>
    <w:rsid w:val="0087181D"/>
    <w:rsid w:val="00871DA8"/>
    <w:rsid w:val="008720FB"/>
    <w:rsid w:val="008728BF"/>
    <w:rsid w:val="00872A96"/>
    <w:rsid w:val="00872D9F"/>
    <w:rsid w:val="008730F4"/>
    <w:rsid w:val="00875814"/>
    <w:rsid w:val="008801E9"/>
    <w:rsid w:val="00882322"/>
    <w:rsid w:val="00882E81"/>
    <w:rsid w:val="00882E96"/>
    <w:rsid w:val="00883689"/>
    <w:rsid w:val="00883F92"/>
    <w:rsid w:val="00884A18"/>
    <w:rsid w:val="00884C37"/>
    <w:rsid w:val="00884D3F"/>
    <w:rsid w:val="00885E26"/>
    <w:rsid w:val="00886C93"/>
    <w:rsid w:val="00886EC1"/>
    <w:rsid w:val="00886EC2"/>
    <w:rsid w:val="00886F36"/>
    <w:rsid w:val="00887431"/>
    <w:rsid w:val="008877F1"/>
    <w:rsid w:val="00887C1E"/>
    <w:rsid w:val="0089167E"/>
    <w:rsid w:val="008920A7"/>
    <w:rsid w:val="00892364"/>
    <w:rsid w:val="0089303A"/>
    <w:rsid w:val="008955FE"/>
    <w:rsid w:val="00895768"/>
    <w:rsid w:val="00896213"/>
    <w:rsid w:val="008970DD"/>
    <w:rsid w:val="0089712A"/>
    <w:rsid w:val="00897564"/>
    <w:rsid w:val="008A005F"/>
    <w:rsid w:val="008A1E8D"/>
    <w:rsid w:val="008A1FFB"/>
    <w:rsid w:val="008A27BA"/>
    <w:rsid w:val="008A33CA"/>
    <w:rsid w:val="008A3440"/>
    <w:rsid w:val="008A4117"/>
    <w:rsid w:val="008A43A3"/>
    <w:rsid w:val="008A43EB"/>
    <w:rsid w:val="008A46E3"/>
    <w:rsid w:val="008A51CD"/>
    <w:rsid w:val="008A530F"/>
    <w:rsid w:val="008A5814"/>
    <w:rsid w:val="008A5CD4"/>
    <w:rsid w:val="008A5DD4"/>
    <w:rsid w:val="008A638A"/>
    <w:rsid w:val="008A6C9C"/>
    <w:rsid w:val="008A7E71"/>
    <w:rsid w:val="008A7EFD"/>
    <w:rsid w:val="008B01BA"/>
    <w:rsid w:val="008B0444"/>
    <w:rsid w:val="008B0863"/>
    <w:rsid w:val="008B0AB7"/>
    <w:rsid w:val="008B0EE6"/>
    <w:rsid w:val="008B0F07"/>
    <w:rsid w:val="008B122C"/>
    <w:rsid w:val="008B17A5"/>
    <w:rsid w:val="008B2620"/>
    <w:rsid w:val="008B2DC4"/>
    <w:rsid w:val="008B385B"/>
    <w:rsid w:val="008B440E"/>
    <w:rsid w:val="008B45BD"/>
    <w:rsid w:val="008B46B2"/>
    <w:rsid w:val="008B55E6"/>
    <w:rsid w:val="008B57B2"/>
    <w:rsid w:val="008B5B0E"/>
    <w:rsid w:val="008B5B30"/>
    <w:rsid w:val="008B5F4A"/>
    <w:rsid w:val="008B78F0"/>
    <w:rsid w:val="008B7A48"/>
    <w:rsid w:val="008B7CA6"/>
    <w:rsid w:val="008C008D"/>
    <w:rsid w:val="008C03E9"/>
    <w:rsid w:val="008C07D2"/>
    <w:rsid w:val="008C09B8"/>
    <w:rsid w:val="008C1271"/>
    <w:rsid w:val="008C17AA"/>
    <w:rsid w:val="008C2141"/>
    <w:rsid w:val="008C2448"/>
    <w:rsid w:val="008C252E"/>
    <w:rsid w:val="008C271B"/>
    <w:rsid w:val="008C27E6"/>
    <w:rsid w:val="008C2FA9"/>
    <w:rsid w:val="008C3614"/>
    <w:rsid w:val="008C3753"/>
    <w:rsid w:val="008C376E"/>
    <w:rsid w:val="008C377B"/>
    <w:rsid w:val="008C3900"/>
    <w:rsid w:val="008C3FD7"/>
    <w:rsid w:val="008C47C0"/>
    <w:rsid w:val="008C5066"/>
    <w:rsid w:val="008C51F3"/>
    <w:rsid w:val="008C589F"/>
    <w:rsid w:val="008C607F"/>
    <w:rsid w:val="008C640E"/>
    <w:rsid w:val="008C7140"/>
    <w:rsid w:val="008C7F75"/>
    <w:rsid w:val="008D010D"/>
    <w:rsid w:val="008D01BC"/>
    <w:rsid w:val="008D0C44"/>
    <w:rsid w:val="008D0D98"/>
    <w:rsid w:val="008D1946"/>
    <w:rsid w:val="008D1B30"/>
    <w:rsid w:val="008D1BAE"/>
    <w:rsid w:val="008D3E0D"/>
    <w:rsid w:val="008D4165"/>
    <w:rsid w:val="008D4362"/>
    <w:rsid w:val="008D4E0B"/>
    <w:rsid w:val="008D4E9B"/>
    <w:rsid w:val="008D52B2"/>
    <w:rsid w:val="008D7A50"/>
    <w:rsid w:val="008D7A8D"/>
    <w:rsid w:val="008D7E9E"/>
    <w:rsid w:val="008E0E33"/>
    <w:rsid w:val="008E1B6C"/>
    <w:rsid w:val="008E2AF7"/>
    <w:rsid w:val="008E2F96"/>
    <w:rsid w:val="008E3127"/>
    <w:rsid w:val="008E3944"/>
    <w:rsid w:val="008E3AAD"/>
    <w:rsid w:val="008E44AE"/>
    <w:rsid w:val="008E4B65"/>
    <w:rsid w:val="008E5139"/>
    <w:rsid w:val="008E53E2"/>
    <w:rsid w:val="008E574B"/>
    <w:rsid w:val="008E5781"/>
    <w:rsid w:val="008E6561"/>
    <w:rsid w:val="008E7136"/>
    <w:rsid w:val="008E7195"/>
    <w:rsid w:val="008E7CFB"/>
    <w:rsid w:val="008F06B3"/>
    <w:rsid w:val="008F0B42"/>
    <w:rsid w:val="008F1644"/>
    <w:rsid w:val="008F174F"/>
    <w:rsid w:val="008F1F5D"/>
    <w:rsid w:val="008F1FB0"/>
    <w:rsid w:val="008F233A"/>
    <w:rsid w:val="008F2A1D"/>
    <w:rsid w:val="008F2D50"/>
    <w:rsid w:val="008F3B5D"/>
    <w:rsid w:val="008F41F5"/>
    <w:rsid w:val="008F44D8"/>
    <w:rsid w:val="008F48E3"/>
    <w:rsid w:val="008F490F"/>
    <w:rsid w:val="008F4AA9"/>
    <w:rsid w:val="008F4CFA"/>
    <w:rsid w:val="008F5789"/>
    <w:rsid w:val="008F5865"/>
    <w:rsid w:val="008F5CC7"/>
    <w:rsid w:val="008F5F87"/>
    <w:rsid w:val="008F67EB"/>
    <w:rsid w:val="008F6AD4"/>
    <w:rsid w:val="008F7DDC"/>
    <w:rsid w:val="00900398"/>
    <w:rsid w:val="00900504"/>
    <w:rsid w:val="0090098C"/>
    <w:rsid w:val="009016B0"/>
    <w:rsid w:val="009016FD"/>
    <w:rsid w:val="009024AD"/>
    <w:rsid w:val="00902696"/>
    <w:rsid w:val="009026EF"/>
    <w:rsid w:val="00902847"/>
    <w:rsid w:val="00902C0D"/>
    <w:rsid w:val="00902D4A"/>
    <w:rsid w:val="00902FF4"/>
    <w:rsid w:val="0090351C"/>
    <w:rsid w:val="00904030"/>
    <w:rsid w:val="009040A4"/>
    <w:rsid w:val="00904C90"/>
    <w:rsid w:val="00905129"/>
    <w:rsid w:val="009052A8"/>
    <w:rsid w:val="00905460"/>
    <w:rsid w:val="009070BC"/>
    <w:rsid w:val="00907451"/>
    <w:rsid w:val="009105FA"/>
    <w:rsid w:val="00910A5B"/>
    <w:rsid w:val="00910A6A"/>
    <w:rsid w:val="009110C8"/>
    <w:rsid w:val="00911220"/>
    <w:rsid w:val="00911887"/>
    <w:rsid w:val="0091226B"/>
    <w:rsid w:val="00912476"/>
    <w:rsid w:val="0091258D"/>
    <w:rsid w:val="00912AC1"/>
    <w:rsid w:val="00913D7E"/>
    <w:rsid w:val="00914EDF"/>
    <w:rsid w:val="00914F6E"/>
    <w:rsid w:val="00915357"/>
    <w:rsid w:val="00916CEA"/>
    <w:rsid w:val="009170E8"/>
    <w:rsid w:val="00917D76"/>
    <w:rsid w:val="009201E9"/>
    <w:rsid w:val="00920231"/>
    <w:rsid w:val="009218A8"/>
    <w:rsid w:val="00922329"/>
    <w:rsid w:val="00922741"/>
    <w:rsid w:val="00922890"/>
    <w:rsid w:val="009233D8"/>
    <w:rsid w:val="00923421"/>
    <w:rsid w:val="00923D3E"/>
    <w:rsid w:val="00924376"/>
    <w:rsid w:val="00924DA9"/>
    <w:rsid w:val="009253CF"/>
    <w:rsid w:val="0092542B"/>
    <w:rsid w:val="0092545A"/>
    <w:rsid w:val="00925587"/>
    <w:rsid w:val="0092596A"/>
    <w:rsid w:val="0092597B"/>
    <w:rsid w:val="009263CB"/>
    <w:rsid w:val="009265C8"/>
    <w:rsid w:val="009302FC"/>
    <w:rsid w:val="00930EE3"/>
    <w:rsid w:val="0093151C"/>
    <w:rsid w:val="00931BA8"/>
    <w:rsid w:val="00931C01"/>
    <w:rsid w:val="00931E2E"/>
    <w:rsid w:val="00932F4E"/>
    <w:rsid w:val="009336CC"/>
    <w:rsid w:val="00933B6C"/>
    <w:rsid w:val="00933C4C"/>
    <w:rsid w:val="009340A4"/>
    <w:rsid w:val="009348A9"/>
    <w:rsid w:val="00935117"/>
    <w:rsid w:val="0093568A"/>
    <w:rsid w:val="00935EE9"/>
    <w:rsid w:val="00936146"/>
    <w:rsid w:val="0093645E"/>
    <w:rsid w:val="009370A5"/>
    <w:rsid w:val="00937E44"/>
    <w:rsid w:val="00940CBA"/>
    <w:rsid w:val="00941C03"/>
    <w:rsid w:val="00941ED8"/>
    <w:rsid w:val="00942654"/>
    <w:rsid w:val="0094270C"/>
    <w:rsid w:val="00942BDC"/>
    <w:rsid w:val="009430C3"/>
    <w:rsid w:val="00943113"/>
    <w:rsid w:val="009436AF"/>
    <w:rsid w:val="0094434C"/>
    <w:rsid w:val="00944553"/>
    <w:rsid w:val="00944C5A"/>
    <w:rsid w:val="00945BF1"/>
    <w:rsid w:val="00946193"/>
    <w:rsid w:val="0094627C"/>
    <w:rsid w:val="00946F45"/>
    <w:rsid w:val="009471BE"/>
    <w:rsid w:val="00947E39"/>
    <w:rsid w:val="00950BBA"/>
    <w:rsid w:val="00950C5C"/>
    <w:rsid w:val="00951E2D"/>
    <w:rsid w:val="0095200D"/>
    <w:rsid w:val="0095377E"/>
    <w:rsid w:val="0095466D"/>
    <w:rsid w:val="00954DBB"/>
    <w:rsid w:val="00955762"/>
    <w:rsid w:val="00955E74"/>
    <w:rsid w:val="009561A4"/>
    <w:rsid w:val="00956669"/>
    <w:rsid w:val="00957C1C"/>
    <w:rsid w:val="00960E03"/>
    <w:rsid w:val="00960EA2"/>
    <w:rsid w:val="009629B2"/>
    <w:rsid w:val="009640B0"/>
    <w:rsid w:val="00964A3F"/>
    <w:rsid w:val="0096567C"/>
    <w:rsid w:val="00965961"/>
    <w:rsid w:val="00965F1D"/>
    <w:rsid w:val="0096680F"/>
    <w:rsid w:val="00967402"/>
    <w:rsid w:val="00967485"/>
    <w:rsid w:val="009675CB"/>
    <w:rsid w:val="0096781B"/>
    <w:rsid w:val="009679B1"/>
    <w:rsid w:val="00967B06"/>
    <w:rsid w:val="00967B89"/>
    <w:rsid w:val="00967F1C"/>
    <w:rsid w:val="00971591"/>
    <w:rsid w:val="0097264D"/>
    <w:rsid w:val="00972C18"/>
    <w:rsid w:val="0097396D"/>
    <w:rsid w:val="009739BE"/>
    <w:rsid w:val="00973E95"/>
    <w:rsid w:val="009740D8"/>
    <w:rsid w:val="0097416A"/>
    <w:rsid w:val="009741DB"/>
    <w:rsid w:val="0097429D"/>
    <w:rsid w:val="00974945"/>
    <w:rsid w:val="00975682"/>
    <w:rsid w:val="0097570F"/>
    <w:rsid w:val="009757BD"/>
    <w:rsid w:val="00975D28"/>
    <w:rsid w:val="00975EB4"/>
    <w:rsid w:val="00977C81"/>
    <w:rsid w:val="00980278"/>
    <w:rsid w:val="009803B2"/>
    <w:rsid w:val="00980630"/>
    <w:rsid w:val="009816B0"/>
    <w:rsid w:val="009830E0"/>
    <w:rsid w:val="00983EEA"/>
    <w:rsid w:val="00985418"/>
    <w:rsid w:val="00985A83"/>
    <w:rsid w:val="00985FB8"/>
    <w:rsid w:val="00986417"/>
    <w:rsid w:val="0098661C"/>
    <w:rsid w:val="009866A5"/>
    <w:rsid w:val="009908A5"/>
    <w:rsid w:val="00990FBE"/>
    <w:rsid w:val="0099199A"/>
    <w:rsid w:val="00992381"/>
    <w:rsid w:val="00992732"/>
    <w:rsid w:val="00992BA9"/>
    <w:rsid w:val="00993500"/>
    <w:rsid w:val="00993D40"/>
    <w:rsid w:val="00993ED3"/>
    <w:rsid w:val="00994E2E"/>
    <w:rsid w:val="00995856"/>
    <w:rsid w:val="00997021"/>
    <w:rsid w:val="00997B0F"/>
    <w:rsid w:val="009A0DDB"/>
    <w:rsid w:val="009A196F"/>
    <w:rsid w:val="009A1AEB"/>
    <w:rsid w:val="009A2622"/>
    <w:rsid w:val="009A3AD1"/>
    <w:rsid w:val="009A3CF7"/>
    <w:rsid w:val="009A3CF9"/>
    <w:rsid w:val="009A3D9F"/>
    <w:rsid w:val="009A40A3"/>
    <w:rsid w:val="009A44D7"/>
    <w:rsid w:val="009A495F"/>
    <w:rsid w:val="009A5D6A"/>
    <w:rsid w:val="009A6161"/>
    <w:rsid w:val="009A64C4"/>
    <w:rsid w:val="009A6D8A"/>
    <w:rsid w:val="009A6E68"/>
    <w:rsid w:val="009A7B16"/>
    <w:rsid w:val="009B052A"/>
    <w:rsid w:val="009B09C6"/>
    <w:rsid w:val="009B0B5A"/>
    <w:rsid w:val="009B0BB8"/>
    <w:rsid w:val="009B10F2"/>
    <w:rsid w:val="009B1CCB"/>
    <w:rsid w:val="009B2419"/>
    <w:rsid w:val="009B2D86"/>
    <w:rsid w:val="009B3140"/>
    <w:rsid w:val="009B3270"/>
    <w:rsid w:val="009B3E80"/>
    <w:rsid w:val="009B44DA"/>
    <w:rsid w:val="009B4B9E"/>
    <w:rsid w:val="009B4E7F"/>
    <w:rsid w:val="009B5F42"/>
    <w:rsid w:val="009B661E"/>
    <w:rsid w:val="009B6E8B"/>
    <w:rsid w:val="009B745B"/>
    <w:rsid w:val="009B79BA"/>
    <w:rsid w:val="009B7F11"/>
    <w:rsid w:val="009C025A"/>
    <w:rsid w:val="009C09BA"/>
    <w:rsid w:val="009C0BE1"/>
    <w:rsid w:val="009C1180"/>
    <w:rsid w:val="009C145B"/>
    <w:rsid w:val="009C1F06"/>
    <w:rsid w:val="009C2DF5"/>
    <w:rsid w:val="009C3899"/>
    <w:rsid w:val="009C3E90"/>
    <w:rsid w:val="009C409B"/>
    <w:rsid w:val="009C4354"/>
    <w:rsid w:val="009C563C"/>
    <w:rsid w:val="009C5F48"/>
    <w:rsid w:val="009C60B9"/>
    <w:rsid w:val="009C61B4"/>
    <w:rsid w:val="009C712E"/>
    <w:rsid w:val="009C72C9"/>
    <w:rsid w:val="009C7F42"/>
    <w:rsid w:val="009C7F82"/>
    <w:rsid w:val="009D02F3"/>
    <w:rsid w:val="009D035A"/>
    <w:rsid w:val="009D110D"/>
    <w:rsid w:val="009D114C"/>
    <w:rsid w:val="009D1424"/>
    <w:rsid w:val="009D2356"/>
    <w:rsid w:val="009D2B6C"/>
    <w:rsid w:val="009D3D9E"/>
    <w:rsid w:val="009D4CCE"/>
    <w:rsid w:val="009D5037"/>
    <w:rsid w:val="009D5863"/>
    <w:rsid w:val="009D6011"/>
    <w:rsid w:val="009D6051"/>
    <w:rsid w:val="009D6542"/>
    <w:rsid w:val="009D7CFB"/>
    <w:rsid w:val="009E193B"/>
    <w:rsid w:val="009E1B53"/>
    <w:rsid w:val="009E1F33"/>
    <w:rsid w:val="009E263D"/>
    <w:rsid w:val="009E269F"/>
    <w:rsid w:val="009E2CBF"/>
    <w:rsid w:val="009E35B7"/>
    <w:rsid w:val="009E3A89"/>
    <w:rsid w:val="009E3E56"/>
    <w:rsid w:val="009E3F39"/>
    <w:rsid w:val="009E4832"/>
    <w:rsid w:val="009E52B9"/>
    <w:rsid w:val="009E6611"/>
    <w:rsid w:val="009E6AE5"/>
    <w:rsid w:val="009E7728"/>
    <w:rsid w:val="009E7752"/>
    <w:rsid w:val="009F0B2A"/>
    <w:rsid w:val="009F1547"/>
    <w:rsid w:val="009F1D44"/>
    <w:rsid w:val="009F2861"/>
    <w:rsid w:val="009F2DD4"/>
    <w:rsid w:val="009F397C"/>
    <w:rsid w:val="009F3E11"/>
    <w:rsid w:val="009F51AB"/>
    <w:rsid w:val="009F5254"/>
    <w:rsid w:val="009F64ED"/>
    <w:rsid w:val="009F6846"/>
    <w:rsid w:val="009F69B9"/>
    <w:rsid w:val="009F7760"/>
    <w:rsid w:val="009F7B16"/>
    <w:rsid w:val="00A00CDD"/>
    <w:rsid w:val="00A013D8"/>
    <w:rsid w:val="00A0191F"/>
    <w:rsid w:val="00A01B98"/>
    <w:rsid w:val="00A01FB7"/>
    <w:rsid w:val="00A022B5"/>
    <w:rsid w:val="00A02318"/>
    <w:rsid w:val="00A027C9"/>
    <w:rsid w:val="00A0324A"/>
    <w:rsid w:val="00A0396F"/>
    <w:rsid w:val="00A03A79"/>
    <w:rsid w:val="00A03A94"/>
    <w:rsid w:val="00A049C3"/>
    <w:rsid w:val="00A04E71"/>
    <w:rsid w:val="00A04F33"/>
    <w:rsid w:val="00A04FC2"/>
    <w:rsid w:val="00A05078"/>
    <w:rsid w:val="00A05A76"/>
    <w:rsid w:val="00A05BEF"/>
    <w:rsid w:val="00A063E3"/>
    <w:rsid w:val="00A067C4"/>
    <w:rsid w:val="00A06AD7"/>
    <w:rsid w:val="00A06E09"/>
    <w:rsid w:val="00A07475"/>
    <w:rsid w:val="00A076DC"/>
    <w:rsid w:val="00A103B2"/>
    <w:rsid w:val="00A103EC"/>
    <w:rsid w:val="00A1130C"/>
    <w:rsid w:val="00A11933"/>
    <w:rsid w:val="00A12691"/>
    <w:rsid w:val="00A1297C"/>
    <w:rsid w:val="00A12E6A"/>
    <w:rsid w:val="00A12EBD"/>
    <w:rsid w:val="00A14198"/>
    <w:rsid w:val="00A1485C"/>
    <w:rsid w:val="00A14F1D"/>
    <w:rsid w:val="00A15652"/>
    <w:rsid w:val="00A15757"/>
    <w:rsid w:val="00A15819"/>
    <w:rsid w:val="00A1634A"/>
    <w:rsid w:val="00A1694A"/>
    <w:rsid w:val="00A17073"/>
    <w:rsid w:val="00A200F9"/>
    <w:rsid w:val="00A20A7E"/>
    <w:rsid w:val="00A2220B"/>
    <w:rsid w:val="00A222AC"/>
    <w:rsid w:val="00A232DA"/>
    <w:rsid w:val="00A23364"/>
    <w:rsid w:val="00A23554"/>
    <w:rsid w:val="00A23AA2"/>
    <w:rsid w:val="00A23FBB"/>
    <w:rsid w:val="00A24044"/>
    <w:rsid w:val="00A26C5B"/>
    <w:rsid w:val="00A3003F"/>
    <w:rsid w:val="00A3031F"/>
    <w:rsid w:val="00A30614"/>
    <w:rsid w:val="00A30772"/>
    <w:rsid w:val="00A31039"/>
    <w:rsid w:val="00A3171D"/>
    <w:rsid w:val="00A31AB8"/>
    <w:rsid w:val="00A31B7C"/>
    <w:rsid w:val="00A31CAF"/>
    <w:rsid w:val="00A3210B"/>
    <w:rsid w:val="00A32328"/>
    <w:rsid w:val="00A325BC"/>
    <w:rsid w:val="00A32AF8"/>
    <w:rsid w:val="00A32D23"/>
    <w:rsid w:val="00A339E0"/>
    <w:rsid w:val="00A33A12"/>
    <w:rsid w:val="00A34673"/>
    <w:rsid w:val="00A354C2"/>
    <w:rsid w:val="00A36571"/>
    <w:rsid w:val="00A36BF6"/>
    <w:rsid w:val="00A37133"/>
    <w:rsid w:val="00A37640"/>
    <w:rsid w:val="00A37D0A"/>
    <w:rsid w:val="00A37D1E"/>
    <w:rsid w:val="00A37D30"/>
    <w:rsid w:val="00A40019"/>
    <w:rsid w:val="00A40858"/>
    <w:rsid w:val="00A40F8C"/>
    <w:rsid w:val="00A414D5"/>
    <w:rsid w:val="00A41531"/>
    <w:rsid w:val="00A420ED"/>
    <w:rsid w:val="00A42D72"/>
    <w:rsid w:val="00A42F74"/>
    <w:rsid w:val="00A44158"/>
    <w:rsid w:val="00A44502"/>
    <w:rsid w:val="00A4567D"/>
    <w:rsid w:val="00A457A3"/>
    <w:rsid w:val="00A46591"/>
    <w:rsid w:val="00A46648"/>
    <w:rsid w:val="00A472FF"/>
    <w:rsid w:val="00A473C2"/>
    <w:rsid w:val="00A47ABD"/>
    <w:rsid w:val="00A50F60"/>
    <w:rsid w:val="00A518CF"/>
    <w:rsid w:val="00A519D9"/>
    <w:rsid w:val="00A51CB2"/>
    <w:rsid w:val="00A52907"/>
    <w:rsid w:val="00A52A9E"/>
    <w:rsid w:val="00A52D85"/>
    <w:rsid w:val="00A52FAE"/>
    <w:rsid w:val="00A54846"/>
    <w:rsid w:val="00A5573F"/>
    <w:rsid w:val="00A55FD2"/>
    <w:rsid w:val="00A560E8"/>
    <w:rsid w:val="00A561FD"/>
    <w:rsid w:val="00A567C2"/>
    <w:rsid w:val="00A5694E"/>
    <w:rsid w:val="00A56EC4"/>
    <w:rsid w:val="00A57093"/>
    <w:rsid w:val="00A570D8"/>
    <w:rsid w:val="00A57255"/>
    <w:rsid w:val="00A605BD"/>
    <w:rsid w:val="00A6094C"/>
    <w:rsid w:val="00A6191E"/>
    <w:rsid w:val="00A628C2"/>
    <w:rsid w:val="00A6466A"/>
    <w:rsid w:val="00A65DFE"/>
    <w:rsid w:val="00A65F82"/>
    <w:rsid w:val="00A669E8"/>
    <w:rsid w:val="00A70685"/>
    <w:rsid w:val="00A7091E"/>
    <w:rsid w:val="00A70C0F"/>
    <w:rsid w:val="00A70CB5"/>
    <w:rsid w:val="00A71AF4"/>
    <w:rsid w:val="00A72585"/>
    <w:rsid w:val="00A73969"/>
    <w:rsid w:val="00A73A4F"/>
    <w:rsid w:val="00A73F48"/>
    <w:rsid w:val="00A745EE"/>
    <w:rsid w:val="00A748B3"/>
    <w:rsid w:val="00A7650D"/>
    <w:rsid w:val="00A76631"/>
    <w:rsid w:val="00A769F6"/>
    <w:rsid w:val="00A77204"/>
    <w:rsid w:val="00A773EC"/>
    <w:rsid w:val="00A7784E"/>
    <w:rsid w:val="00A80BDD"/>
    <w:rsid w:val="00A8242F"/>
    <w:rsid w:val="00A82862"/>
    <w:rsid w:val="00A828D1"/>
    <w:rsid w:val="00A82F85"/>
    <w:rsid w:val="00A83326"/>
    <w:rsid w:val="00A83783"/>
    <w:rsid w:val="00A83F5C"/>
    <w:rsid w:val="00A84324"/>
    <w:rsid w:val="00A84485"/>
    <w:rsid w:val="00A85270"/>
    <w:rsid w:val="00A859BF"/>
    <w:rsid w:val="00A85A6E"/>
    <w:rsid w:val="00A86553"/>
    <w:rsid w:val="00A8669C"/>
    <w:rsid w:val="00A87122"/>
    <w:rsid w:val="00A87568"/>
    <w:rsid w:val="00A87DE2"/>
    <w:rsid w:val="00A9009A"/>
    <w:rsid w:val="00A9074C"/>
    <w:rsid w:val="00A909A9"/>
    <w:rsid w:val="00A90BE8"/>
    <w:rsid w:val="00A931CF"/>
    <w:rsid w:val="00A934E7"/>
    <w:rsid w:val="00A94436"/>
    <w:rsid w:val="00A94786"/>
    <w:rsid w:val="00A94B0E"/>
    <w:rsid w:val="00A951B6"/>
    <w:rsid w:val="00AA039F"/>
    <w:rsid w:val="00AA0A75"/>
    <w:rsid w:val="00AA0BFF"/>
    <w:rsid w:val="00AA0D62"/>
    <w:rsid w:val="00AA15F2"/>
    <w:rsid w:val="00AA161D"/>
    <w:rsid w:val="00AA16AD"/>
    <w:rsid w:val="00AA184D"/>
    <w:rsid w:val="00AA1877"/>
    <w:rsid w:val="00AA19A6"/>
    <w:rsid w:val="00AA1B4C"/>
    <w:rsid w:val="00AA1E86"/>
    <w:rsid w:val="00AA30BF"/>
    <w:rsid w:val="00AA3690"/>
    <w:rsid w:val="00AA3864"/>
    <w:rsid w:val="00AA3A80"/>
    <w:rsid w:val="00AA3FE2"/>
    <w:rsid w:val="00AA509D"/>
    <w:rsid w:val="00AA5111"/>
    <w:rsid w:val="00AA5285"/>
    <w:rsid w:val="00AA5BC6"/>
    <w:rsid w:val="00AA5D64"/>
    <w:rsid w:val="00AA5D6C"/>
    <w:rsid w:val="00AA662B"/>
    <w:rsid w:val="00AA6781"/>
    <w:rsid w:val="00AA7994"/>
    <w:rsid w:val="00AA7AEB"/>
    <w:rsid w:val="00AA7BDD"/>
    <w:rsid w:val="00AB016E"/>
    <w:rsid w:val="00AB0357"/>
    <w:rsid w:val="00AB0414"/>
    <w:rsid w:val="00AB0629"/>
    <w:rsid w:val="00AB0D89"/>
    <w:rsid w:val="00AB0F62"/>
    <w:rsid w:val="00AB10C7"/>
    <w:rsid w:val="00AB2DEF"/>
    <w:rsid w:val="00AB3B8A"/>
    <w:rsid w:val="00AB3E91"/>
    <w:rsid w:val="00AB3F97"/>
    <w:rsid w:val="00AB4889"/>
    <w:rsid w:val="00AB4B2A"/>
    <w:rsid w:val="00AB4CD0"/>
    <w:rsid w:val="00AB4D2A"/>
    <w:rsid w:val="00AB5C19"/>
    <w:rsid w:val="00AB67FA"/>
    <w:rsid w:val="00AB68E5"/>
    <w:rsid w:val="00AB6CD6"/>
    <w:rsid w:val="00AB756B"/>
    <w:rsid w:val="00AB792D"/>
    <w:rsid w:val="00AC066A"/>
    <w:rsid w:val="00AC13FC"/>
    <w:rsid w:val="00AC203F"/>
    <w:rsid w:val="00AC25A7"/>
    <w:rsid w:val="00AC3894"/>
    <w:rsid w:val="00AC3C86"/>
    <w:rsid w:val="00AC4747"/>
    <w:rsid w:val="00AC5829"/>
    <w:rsid w:val="00AC5847"/>
    <w:rsid w:val="00AC5878"/>
    <w:rsid w:val="00AC5B22"/>
    <w:rsid w:val="00AC601E"/>
    <w:rsid w:val="00AC6707"/>
    <w:rsid w:val="00AC6963"/>
    <w:rsid w:val="00AC7407"/>
    <w:rsid w:val="00AC79C8"/>
    <w:rsid w:val="00AD1234"/>
    <w:rsid w:val="00AD2111"/>
    <w:rsid w:val="00AD2A0C"/>
    <w:rsid w:val="00AD330B"/>
    <w:rsid w:val="00AD331C"/>
    <w:rsid w:val="00AD36DC"/>
    <w:rsid w:val="00AD3E09"/>
    <w:rsid w:val="00AD4508"/>
    <w:rsid w:val="00AD4855"/>
    <w:rsid w:val="00AD514E"/>
    <w:rsid w:val="00AD5838"/>
    <w:rsid w:val="00AD63C7"/>
    <w:rsid w:val="00AD6925"/>
    <w:rsid w:val="00AD6A29"/>
    <w:rsid w:val="00AD6BE2"/>
    <w:rsid w:val="00AD6DE3"/>
    <w:rsid w:val="00AD7447"/>
    <w:rsid w:val="00AD7808"/>
    <w:rsid w:val="00AD7DF9"/>
    <w:rsid w:val="00AD7E86"/>
    <w:rsid w:val="00AE09FE"/>
    <w:rsid w:val="00AE16AC"/>
    <w:rsid w:val="00AE18B0"/>
    <w:rsid w:val="00AE1D25"/>
    <w:rsid w:val="00AE1F72"/>
    <w:rsid w:val="00AE2315"/>
    <w:rsid w:val="00AE2FFD"/>
    <w:rsid w:val="00AE35C1"/>
    <w:rsid w:val="00AE3969"/>
    <w:rsid w:val="00AE3F89"/>
    <w:rsid w:val="00AE407D"/>
    <w:rsid w:val="00AE42AF"/>
    <w:rsid w:val="00AE4A7F"/>
    <w:rsid w:val="00AE5007"/>
    <w:rsid w:val="00AE5089"/>
    <w:rsid w:val="00AE5F4D"/>
    <w:rsid w:val="00AE60D7"/>
    <w:rsid w:val="00AE614C"/>
    <w:rsid w:val="00AE65AD"/>
    <w:rsid w:val="00AE746F"/>
    <w:rsid w:val="00AF075C"/>
    <w:rsid w:val="00AF0949"/>
    <w:rsid w:val="00AF14C8"/>
    <w:rsid w:val="00AF19C9"/>
    <w:rsid w:val="00AF230C"/>
    <w:rsid w:val="00AF2725"/>
    <w:rsid w:val="00AF280C"/>
    <w:rsid w:val="00AF3275"/>
    <w:rsid w:val="00AF44D4"/>
    <w:rsid w:val="00AF451E"/>
    <w:rsid w:val="00AF5257"/>
    <w:rsid w:val="00AF529E"/>
    <w:rsid w:val="00AF624B"/>
    <w:rsid w:val="00AF6492"/>
    <w:rsid w:val="00AF668D"/>
    <w:rsid w:val="00AF7265"/>
    <w:rsid w:val="00AF7B4F"/>
    <w:rsid w:val="00B00096"/>
    <w:rsid w:val="00B0093A"/>
    <w:rsid w:val="00B009A8"/>
    <w:rsid w:val="00B00B1C"/>
    <w:rsid w:val="00B00DD3"/>
    <w:rsid w:val="00B012D0"/>
    <w:rsid w:val="00B03EB4"/>
    <w:rsid w:val="00B05488"/>
    <w:rsid w:val="00B0575F"/>
    <w:rsid w:val="00B05BE3"/>
    <w:rsid w:val="00B0614E"/>
    <w:rsid w:val="00B06518"/>
    <w:rsid w:val="00B06936"/>
    <w:rsid w:val="00B070AA"/>
    <w:rsid w:val="00B07599"/>
    <w:rsid w:val="00B10253"/>
    <w:rsid w:val="00B10588"/>
    <w:rsid w:val="00B109B1"/>
    <w:rsid w:val="00B10C1B"/>
    <w:rsid w:val="00B10F9D"/>
    <w:rsid w:val="00B111E1"/>
    <w:rsid w:val="00B116AA"/>
    <w:rsid w:val="00B118C3"/>
    <w:rsid w:val="00B119DC"/>
    <w:rsid w:val="00B11D6F"/>
    <w:rsid w:val="00B11FE4"/>
    <w:rsid w:val="00B127F2"/>
    <w:rsid w:val="00B13958"/>
    <w:rsid w:val="00B13C7A"/>
    <w:rsid w:val="00B140A1"/>
    <w:rsid w:val="00B14335"/>
    <w:rsid w:val="00B14643"/>
    <w:rsid w:val="00B14AAA"/>
    <w:rsid w:val="00B15538"/>
    <w:rsid w:val="00B1665E"/>
    <w:rsid w:val="00B1666F"/>
    <w:rsid w:val="00B17AE8"/>
    <w:rsid w:val="00B17F6E"/>
    <w:rsid w:val="00B20945"/>
    <w:rsid w:val="00B20AB6"/>
    <w:rsid w:val="00B21687"/>
    <w:rsid w:val="00B2397E"/>
    <w:rsid w:val="00B23CD5"/>
    <w:rsid w:val="00B24974"/>
    <w:rsid w:val="00B24AE5"/>
    <w:rsid w:val="00B24E84"/>
    <w:rsid w:val="00B25342"/>
    <w:rsid w:val="00B25C27"/>
    <w:rsid w:val="00B26D78"/>
    <w:rsid w:val="00B272C8"/>
    <w:rsid w:val="00B277DE"/>
    <w:rsid w:val="00B30ECE"/>
    <w:rsid w:val="00B317D6"/>
    <w:rsid w:val="00B32325"/>
    <w:rsid w:val="00B32A1B"/>
    <w:rsid w:val="00B32BF8"/>
    <w:rsid w:val="00B32CC2"/>
    <w:rsid w:val="00B32F03"/>
    <w:rsid w:val="00B348AC"/>
    <w:rsid w:val="00B352E1"/>
    <w:rsid w:val="00B3582E"/>
    <w:rsid w:val="00B35CBA"/>
    <w:rsid w:val="00B35E74"/>
    <w:rsid w:val="00B36967"/>
    <w:rsid w:val="00B3699F"/>
    <w:rsid w:val="00B37F47"/>
    <w:rsid w:val="00B4056F"/>
    <w:rsid w:val="00B40ACA"/>
    <w:rsid w:val="00B40EEC"/>
    <w:rsid w:val="00B41BF5"/>
    <w:rsid w:val="00B41C8B"/>
    <w:rsid w:val="00B42266"/>
    <w:rsid w:val="00B43383"/>
    <w:rsid w:val="00B4341D"/>
    <w:rsid w:val="00B435BF"/>
    <w:rsid w:val="00B43EB2"/>
    <w:rsid w:val="00B446CC"/>
    <w:rsid w:val="00B447C0"/>
    <w:rsid w:val="00B4499C"/>
    <w:rsid w:val="00B44B63"/>
    <w:rsid w:val="00B44E88"/>
    <w:rsid w:val="00B4538A"/>
    <w:rsid w:val="00B457ED"/>
    <w:rsid w:val="00B45896"/>
    <w:rsid w:val="00B45CE0"/>
    <w:rsid w:val="00B461EF"/>
    <w:rsid w:val="00B46B97"/>
    <w:rsid w:val="00B47ADD"/>
    <w:rsid w:val="00B47D18"/>
    <w:rsid w:val="00B47D7F"/>
    <w:rsid w:val="00B47F76"/>
    <w:rsid w:val="00B501BF"/>
    <w:rsid w:val="00B5073B"/>
    <w:rsid w:val="00B5098A"/>
    <w:rsid w:val="00B50D45"/>
    <w:rsid w:val="00B51E33"/>
    <w:rsid w:val="00B5280F"/>
    <w:rsid w:val="00B5337F"/>
    <w:rsid w:val="00B53841"/>
    <w:rsid w:val="00B541EC"/>
    <w:rsid w:val="00B542D8"/>
    <w:rsid w:val="00B54A1C"/>
    <w:rsid w:val="00B54A72"/>
    <w:rsid w:val="00B54B36"/>
    <w:rsid w:val="00B54EFB"/>
    <w:rsid w:val="00B54F20"/>
    <w:rsid w:val="00B55550"/>
    <w:rsid w:val="00B558ED"/>
    <w:rsid w:val="00B563EB"/>
    <w:rsid w:val="00B57B37"/>
    <w:rsid w:val="00B57C1A"/>
    <w:rsid w:val="00B57C97"/>
    <w:rsid w:val="00B62759"/>
    <w:rsid w:val="00B62770"/>
    <w:rsid w:val="00B62B42"/>
    <w:rsid w:val="00B6386C"/>
    <w:rsid w:val="00B63968"/>
    <w:rsid w:val="00B6458D"/>
    <w:rsid w:val="00B64887"/>
    <w:rsid w:val="00B64D3A"/>
    <w:rsid w:val="00B6504C"/>
    <w:rsid w:val="00B657FF"/>
    <w:rsid w:val="00B65B31"/>
    <w:rsid w:val="00B669FF"/>
    <w:rsid w:val="00B678B1"/>
    <w:rsid w:val="00B67D08"/>
    <w:rsid w:val="00B67E64"/>
    <w:rsid w:val="00B7027A"/>
    <w:rsid w:val="00B706A1"/>
    <w:rsid w:val="00B7130E"/>
    <w:rsid w:val="00B718D9"/>
    <w:rsid w:val="00B71D3F"/>
    <w:rsid w:val="00B71E4D"/>
    <w:rsid w:val="00B71EE9"/>
    <w:rsid w:val="00B72C8B"/>
    <w:rsid w:val="00B72D30"/>
    <w:rsid w:val="00B73BD1"/>
    <w:rsid w:val="00B73F2A"/>
    <w:rsid w:val="00B741CC"/>
    <w:rsid w:val="00B74200"/>
    <w:rsid w:val="00B74204"/>
    <w:rsid w:val="00B74637"/>
    <w:rsid w:val="00B75724"/>
    <w:rsid w:val="00B7625F"/>
    <w:rsid w:val="00B76632"/>
    <w:rsid w:val="00B76646"/>
    <w:rsid w:val="00B76E3F"/>
    <w:rsid w:val="00B76F1B"/>
    <w:rsid w:val="00B77DED"/>
    <w:rsid w:val="00B77F26"/>
    <w:rsid w:val="00B8212F"/>
    <w:rsid w:val="00B829D0"/>
    <w:rsid w:val="00B82D5D"/>
    <w:rsid w:val="00B82DE7"/>
    <w:rsid w:val="00B82E76"/>
    <w:rsid w:val="00B8388C"/>
    <w:rsid w:val="00B840F4"/>
    <w:rsid w:val="00B8420B"/>
    <w:rsid w:val="00B84804"/>
    <w:rsid w:val="00B8563B"/>
    <w:rsid w:val="00B85CE6"/>
    <w:rsid w:val="00B85FAF"/>
    <w:rsid w:val="00B861D1"/>
    <w:rsid w:val="00B90565"/>
    <w:rsid w:val="00B90AED"/>
    <w:rsid w:val="00B9109F"/>
    <w:rsid w:val="00B91722"/>
    <w:rsid w:val="00B91730"/>
    <w:rsid w:val="00B91870"/>
    <w:rsid w:val="00B91874"/>
    <w:rsid w:val="00B91E27"/>
    <w:rsid w:val="00B9209E"/>
    <w:rsid w:val="00B92CA3"/>
    <w:rsid w:val="00B94B1D"/>
    <w:rsid w:val="00B95E23"/>
    <w:rsid w:val="00B9632A"/>
    <w:rsid w:val="00B96B41"/>
    <w:rsid w:val="00BA18D7"/>
    <w:rsid w:val="00BA1D49"/>
    <w:rsid w:val="00BA2B9F"/>
    <w:rsid w:val="00BA2DAA"/>
    <w:rsid w:val="00BA3A8A"/>
    <w:rsid w:val="00BA3F33"/>
    <w:rsid w:val="00BA49F1"/>
    <w:rsid w:val="00BA50ED"/>
    <w:rsid w:val="00BA5405"/>
    <w:rsid w:val="00BA5D02"/>
    <w:rsid w:val="00BA6655"/>
    <w:rsid w:val="00BA7301"/>
    <w:rsid w:val="00BA77DA"/>
    <w:rsid w:val="00BA7D1E"/>
    <w:rsid w:val="00BB0014"/>
    <w:rsid w:val="00BB0432"/>
    <w:rsid w:val="00BB04FD"/>
    <w:rsid w:val="00BB07EF"/>
    <w:rsid w:val="00BB20CE"/>
    <w:rsid w:val="00BB256A"/>
    <w:rsid w:val="00BB2FCD"/>
    <w:rsid w:val="00BB3028"/>
    <w:rsid w:val="00BB3165"/>
    <w:rsid w:val="00BB3A05"/>
    <w:rsid w:val="00BB4AE8"/>
    <w:rsid w:val="00BB4D1E"/>
    <w:rsid w:val="00BB4EA8"/>
    <w:rsid w:val="00BB5333"/>
    <w:rsid w:val="00BB5EFE"/>
    <w:rsid w:val="00BB6711"/>
    <w:rsid w:val="00BB7782"/>
    <w:rsid w:val="00BC0803"/>
    <w:rsid w:val="00BC0938"/>
    <w:rsid w:val="00BC0EF2"/>
    <w:rsid w:val="00BC140A"/>
    <w:rsid w:val="00BC193F"/>
    <w:rsid w:val="00BC19FF"/>
    <w:rsid w:val="00BC1F8C"/>
    <w:rsid w:val="00BC2336"/>
    <w:rsid w:val="00BC286B"/>
    <w:rsid w:val="00BC2AF4"/>
    <w:rsid w:val="00BC2C99"/>
    <w:rsid w:val="00BC342D"/>
    <w:rsid w:val="00BC3A16"/>
    <w:rsid w:val="00BC3E66"/>
    <w:rsid w:val="00BC4EE0"/>
    <w:rsid w:val="00BC6F22"/>
    <w:rsid w:val="00BC7C5F"/>
    <w:rsid w:val="00BC7F50"/>
    <w:rsid w:val="00BD1A0E"/>
    <w:rsid w:val="00BD1C19"/>
    <w:rsid w:val="00BD20EC"/>
    <w:rsid w:val="00BD28EA"/>
    <w:rsid w:val="00BD3BE6"/>
    <w:rsid w:val="00BD409C"/>
    <w:rsid w:val="00BD475F"/>
    <w:rsid w:val="00BD4C9F"/>
    <w:rsid w:val="00BD5A29"/>
    <w:rsid w:val="00BD5D2E"/>
    <w:rsid w:val="00BD5F8C"/>
    <w:rsid w:val="00BD618A"/>
    <w:rsid w:val="00BD62D9"/>
    <w:rsid w:val="00BD6989"/>
    <w:rsid w:val="00BD6C11"/>
    <w:rsid w:val="00BD7754"/>
    <w:rsid w:val="00BD7E9C"/>
    <w:rsid w:val="00BE10AF"/>
    <w:rsid w:val="00BE21D9"/>
    <w:rsid w:val="00BE22D8"/>
    <w:rsid w:val="00BE274A"/>
    <w:rsid w:val="00BE29E3"/>
    <w:rsid w:val="00BE324B"/>
    <w:rsid w:val="00BE3EBD"/>
    <w:rsid w:val="00BE3ED0"/>
    <w:rsid w:val="00BE3F5F"/>
    <w:rsid w:val="00BE41AF"/>
    <w:rsid w:val="00BE4E69"/>
    <w:rsid w:val="00BE4EC4"/>
    <w:rsid w:val="00BE5106"/>
    <w:rsid w:val="00BE5371"/>
    <w:rsid w:val="00BE5AD6"/>
    <w:rsid w:val="00BE6993"/>
    <w:rsid w:val="00BE6EAA"/>
    <w:rsid w:val="00BF0BDE"/>
    <w:rsid w:val="00BF1543"/>
    <w:rsid w:val="00BF1C85"/>
    <w:rsid w:val="00BF210D"/>
    <w:rsid w:val="00BF32C3"/>
    <w:rsid w:val="00BF3C8B"/>
    <w:rsid w:val="00BF3CF1"/>
    <w:rsid w:val="00BF48A6"/>
    <w:rsid w:val="00BF5170"/>
    <w:rsid w:val="00BF517C"/>
    <w:rsid w:val="00BF57EA"/>
    <w:rsid w:val="00BF5AB2"/>
    <w:rsid w:val="00BF6354"/>
    <w:rsid w:val="00BF66E7"/>
    <w:rsid w:val="00BF6ACB"/>
    <w:rsid w:val="00BF6BD1"/>
    <w:rsid w:val="00BF6CD5"/>
    <w:rsid w:val="00BF6F76"/>
    <w:rsid w:val="00BF7410"/>
    <w:rsid w:val="00BF7D61"/>
    <w:rsid w:val="00BF7E7C"/>
    <w:rsid w:val="00C00152"/>
    <w:rsid w:val="00C010CC"/>
    <w:rsid w:val="00C015A2"/>
    <w:rsid w:val="00C02998"/>
    <w:rsid w:val="00C02B70"/>
    <w:rsid w:val="00C03E2C"/>
    <w:rsid w:val="00C0416B"/>
    <w:rsid w:val="00C04688"/>
    <w:rsid w:val="00C047B1"/>
    <w:rsid w:val="00C05417"/>
    <w:rsid w:val="00C05584"/>
    <w:rsid w:val="00C05B30"/>
    <w:rsid w:val="00C06190"/>
    <w:rsid w:val="00C06592"/>
    <w:rsid w:val="00C06D16"/>
    <w:rsid w:val="00C06E11"/>
    <w:rsid w:val="00C0730D"/>
    <w:rsid w:val="00C104E6"/>
    <w:rsid w:val="00C11FBD"/>
    <w:rsid w:val="00C120F0"/>
    <w:rsid w:val="00C1213B"/>
    <w:rsid w:val="00C12BE9"/>
    <w:rsid w:val="00C12E08"/>
    <w:rsid w:val="00C131CF"/>
    <w:rsid w:val="00C13DC9"/>
    <w:rsid w:val="00C14608"/>
    <w:rsid w:val="00C14B02"/>
    <w:rsid w:val="00C150B4"/>
    <w:rsid w:val="00C1595A"/>
    <w:rsid w:val="00C162D0"/>
    <w:rsid w:val="00C17A75"/>
    <w:rsid w:val="00C17E7B"/>
    <w:rsid w:val="00C17FDF"/>
    <w:rsid w:val="00C2070E"/>
    <w:rsid w:val="00C21226"/>
    <w:rsid w:val="00C21BD4"/>
    <w:rsid w:val="00C21BEF"/>
    <w:rsid w:val="00C22084"/>
    <w:rsid w:val="00C225D6"/>
    <w:rsid w:val="00C2273C"/>
    <w:rsid w:val="00C228DE"/>
    <w:rsid w:val="00C2298C"/>
    <w:rsid w:val="00C22D85"/>
    <w:rsid w:val="00C22E82"/>
    <w:rsid w:val="00C2303B"/>
    <w:rsid w:val="00C235F2"/>
    <w:rsid w:val="00C238AE"/>
    <w:rsid w:val="00C23A84"/>
    <w:rsid w:val="00C2402B"/>
    <w:rsid w:val="00C2451E"/>
    <w:rsid w:val="00C245EE"/>
    <w:rsid w:val="00C2462B"/>
    <w:rsid w:val="00C247AD"/>
    <w:rsid w:val="00C24863"/>
    <w:rsid w:val="00C25083"/>
    <w:rsid w:val="00C25665"/>
    <w:rsid w:val="00C25E32"/>
    <w:rsid w:val="00C26132"/>
    <w:rsid w:val="00C26BD8"/>
    <w:rsid w:val="00C26E35"/>
    <w:rsid w:val="00C278BC"/>
    <w:rsid w:val="00C27B9A"/>
    <w:rsid w:val="00C30027"/>
    <w:rsid w:val="00C3012F"/>
    <w:rsid w:val="00C3055E"/>
    <w:rsid w:val="00C309C2"/>
    <w:rsid w:val="00C31B9E"/>
    <w:rsid w:val="00C322A5"/>
    <w:rsid w:val="00C32FC9"/>
    <w:rsid w:val="00C3304F"/>
    <w:rsid w:val="00C3453C"/>
    <w:rsid w:val="00C34930"/>
    <w:rsid w:val="00C34CC6"/>
    <w:rsid w:val="00C34F66"/>
    <w:rsid w:val="00C3502F"/>
    <w:rsid w:val="00C35C1B"/>
    <w:rsid w:val="00C3656F"/>
    <w:rsid w:val="00C36A53"/>
    <w:rsid w:val="00C36E05"/>
    <w:rsid w:val="00C36EB4"/>
    <w:rsid w:val="00C37643"/>
    <w:rsid w:val="00C37D43"/>
    <w:rsid w:val="00C37D9F"/>
    <w:rsid w:val="00C37FAF"/>
    <w:rsid w:val="00C403AB"/>
    <w:rsid w:val="00C4049E"/>
    <w:rsid w:val="00C41D20"/>
    <w:rsid w:val="00C42283"/>
    <w:rsid w:val="00C4238E"/>
    <w:rsid w:val="00C42BFF"/>
    <w:rsid w:val="00C43591"/>
    <w:rsid w:val="00C43772"/>
    <w:rsid w:val="00C44047"/>
    <w:rsid w:val="00C44DB7"/>
    <w:rsid w:val="00C45481"/>
    <w:rsid w:val="00C4582D"/>
    <w:rsid w:val="00C45A24"/>
    <w:rsid w:val="00C465EF"/>
    <w:rsid w:val="00C4676B"/>
    <w:rsid w:val="00C46970"/>
    <w:rsid w:val="00C4793B"/>
    <w:rsid w:val="00C50B79"/>
    <w:rsid w:val="00C50C9E"/>
    <w:rsid w:val="00C51903"/>
    <w:rsid w:val="00C51C1F"/>
    <w:rsid w:val="00C51DB4"/>
    <w:rsid w:val="00C52517"/>
    <w:rsid w:val="00C52D6A"/>
    <w:rsid w:val="00C53E37"/>
    <w:rsid w:val="00C53F41"/>
    <w:rsid w:val="00C544E0"/>
    <w:rsid w:val="00C54A0F"/>
    <w:rsid w:val="00C55FB7"/>
    <w:rsid w:val="00C56CD2"/>
    <w:rsid w:val="00C56DF3"/>
    <w:rsid w:val="00C57819"/>
    <w:rsid w:val="00C57E2B"/>
    <w:rsid w:val="00C60503"/>
    <w:rsid w:val="00C6105E"/>
    <w:rsid w:val="00C61C37"/>
    <w:rsid w:val="00C61C38"/>
    <w:rsid w:val="00C61D8C"/>
    <w:rsid w:val="00C61E85"/>
    <w:rsid w:val="00C61F8F"/>
    <w:rsid w:val="00C62393"/>
    <w:rsid w:val="00C6241E"/>
    <w:rsid w:val="00C62ACC"/>
    <w:rsid w:val="00C631B5"/>
    <w:rsid w:val="00C63BEA"/>
    <w:rsid w:val="00C6427A"/>
    <w:rsid w:val="00C64559"/>
    <w:rsid w:val="00C6495B"/>
    <w:rsid w:val="00C64E54"/>
    <w:rsid w:val="00C651DC"/>
    <w:rsid w:val="00C6556F"/>
    <w:rsid w:val="00C6597A"/>
    <w:rsid w:val="00C65BED"/>
    <w:rsid w:val="00C65CB3"/>
    <w:rsid w:val="00C67611"/>
    <w:rsid w:val="00C704B3"/>
    <w:rsid w:val="00C707C9"/>
    <w:rsid w:val="00C70BDE"/>
    <w:rsid w:val="00C70CDD"/>
    <w:rsid w:val="00C70D18"/>
    <w:rsid w:val="00C716F9"/>
    <w:rsid w:val="00C71D33"/>
    <w:rsid w:val="00C72254"/>
    <w:rsid w:val="00C72298"/>
    <w:rsid w:val="00C724F5"/>
    <w:rsid w:val="00C72A1F"/>
    <w:rsid w:val="00C73294"/>
    <w:rsid w:val="00C73324"/>
    <w:rsid w:val="00C735D4"/>
    <w:rsid w:val="00C739F7"/>
    <w:rsid w:val="00C73A59"/>
    <w:rsid w:val="00C73B4B"/>
    <w:rsid w:val="00C74A3C"/>
    <w:rsid w:val="00C75DCB"/>
    <w:rsid w:val="00C760A7"/>
    <w:rsid w:val="00C76BCA"/>
    <w:rsid w:val="00C76E5E"/>
    <w:rsid w:val="00C772F9"/>
    <w:rsid w:val="00C77A7B"/>
    <w:rsid w:val="00C8068B"/>
    <w:rsid w:val="00C80BC6"/>
    <w:rsid w:val="00C80EF7"/>
    <w:rsid w:val="00C81048"/>
    <w:rsid w:val="00C81227"/>
    <w:rsid w:val="00C818F0"/>
    <w:rsid w:val="00C81B7B"/>
    <w:rsid w:val="00C82C23"/>
    <w:rsid w:val="00C82EB1"/>
    <w:rsid w:val="00C831AE"/>
    <w:rsid w:val="00C83EA8"/>
    <w:rsid w:val="00C83EEE"/>
    <w:rsid w:val="00C84187"/>
    <w:rsid w:val="00C84D57"/>
    <w:rsid w:val="00C86264"/>
    <w:rsid w:val="00C86708"/>
    <w:rsid w:val="00C86873"/>
    <w:rsid w:val="00C87C92"/>
    <w:rsid w:val="00C87DD7"/>
    <w:rsid w:val="00C87DDA"/>
    <w:rsid w:val="00C909FF"/>
    <w:rsid w:val="00C90EB2"/>
    <w:rsid w:val="00C91A5C"/>
    <w:rsid w:val="00C9220F"/>
    <w:rsid w:val="00C92C0F"/>
    <w:rsid w:val="00C932B7"/>
    <w:rsid w:val="00C94187"/>
    <w:rsid w:val="00C94617"/>
    <w:rsid w:val="00C94904"/>
    <w:rsid w:val="00C94E21"/>
    <w:rsid w:val="00C95CDE"/>
    <w:rsid w:val="00C95E54"/>
    <w:rsid w:val="00C95FEA"/>
    <w:rsid w:val="00C96AD6"/>
    <w:rsid w:val="00C977E9"/>
    <w:rsid w:val="00CA0070"/>
    <w:rsid w:val="00CA05FC"/>
    <w:rsid w:val="00CA0D94"/>
    <w:rsid w:val="00CA1218"/>
    <w:rsid w:val="00CA1334"/>
    <w:rsid w:val="00CA18C2"/>
    <w:rsid w:val="00CA2D96"/>
    <w:rsid w:val="00CA32F2"/>
    <w:rsid w:val="00CA34C1"/>
    <w:rsid w:val="00CA3ED4"/>
    <w:rsid w:val="00CA40F6"/>
    <w:rsid w:val="00CA47E1"/>
    <w:rsid w:val="00CA4888"/>
    <w:rsid w:val="00CA5B3B"/>
    <w:rsid w:val="00CA67F9"/>
    <w:rsid w:val="00CA7484"/>
    <w:rsid w:val="00CA759D"/>
    <w:rsid w:val="00CA7684"/>
    <w:rsid w:val="00CA77DB"/>
    <w:rsid w:val="00CA7BA8"/>
    <w:rsid w:val="00CA7BF1"/>
    <w:rsid w:val="00CB049B"/>
    <w:rsid w:val="00CB0839"/>
    <w:rsid w:val="00CB09A9"/>
    <w:rsid w:val="00CB10CE"/>
    <w:rsid w:val="00CB1755"/>
    <w:rsid w:val="00CB20EF"/>
    <w:rsid w:val="00CB22D3"/>
    <w:rsid w:val="00CB2364"/>
    <w:rsid w:val="00CB285D"/>
    <w:rsid w:val="00CB2BBC"/>
    <w:rsid w:val="00CB41BE"/>
    <w:rsid w:val="00CB4D84"/>
    <w:rsid w:val="00CB590D"/>
    <w:rsid w:val="00CB5D0E"/>
    <w:rsid w:val="00CB6106"/>
    <w:rsid w:val="00CB635E"/>
    <w:rsid w:val="00CB6954"/>
    <w:rsid w:val="00CB6E4C"/>
    <w:rsid w:val="00CB7820"/>
    <w:rsid w:val="00CB7AEF"/>
    <w:rsid w:val="00CC041D"/>
    <w:rsid w:val="00CC055F"/>
    <w:rsid w:val="00CC2224"/>
    <w:rsid w:val="00CC2929"/>
    <w:rsid w:val="00CC30AF"/>
    <w:rsid w:val="00CC321E"/>
    <w:rsid w:val="00CC449C"/>
    <w:rsid w:val="00CC466F"/>
    <w:rsid w:val="00CC4A7B"/>
    <w:rsid w:val="00CC4B5B"/>
    <w:rsid w:val="00CC4B65"/>
    <w:rsid w:val="00CC508D"/>
    <w:rsid w:val="00CC60F4"/>
    <w:rsid w:val="00CC64F8"/>
    <w:rsid w:val="00CC69B2"/>
    <w:rsid w:val="00CC6AC1"/>
    <w:rsid w:val="00CC6C34"/>
    <w:rsid w:val="00CC6D44"/>
    <w:rsid w:val="00CC6E27"/>
    <w:rsid w:val="00CC6E3D"/>
    <w:rsid w:val="00CC766A"/>
    <w:rsid w:val="00CC7D1A"/>
    <w:rsid w:val="00CD00F2"/>
    <w:rsid w:val="00CD043A"/>
    <w:rsid w:val="00CD0549"/>
    <w:rsid w:val="00CD054C"/>
    <w:rsid w:val="00CD05B5"/>
    <w:rsid w:val="00CD0647"/>
    <w:rsid w:val="00CD07CB"/>
    <w:rsid w:val="00CD07EA"/>
    <w:rsid w:val="00CD0A8F"/>
    <w:rsid w:val="00CD1179"/>
    <w:rsid w:val="00CD1217"/>
    <w:rsid w:val="00CD183A"/>
    <w:rsid w:val="00CD1C5E"/>
    <w:rsid w:val="00CD1CBB"/>
    <w:rsid w:val="00CD2003"/>
    <w:rsid w:val="00CD3814"/>
    <w:rsid w:val="00CD3C09"/>
    <w:rsid w:val="00CD3D20"/>
    <w:rsid w:val="00CD406D"/>
    <w:rsid w:val="00CD40F1"/>
    <w:rsid w:val="00CD457D"/>
    <w:rsid w:val="00CD4CEC"/>
    <w:rsid w:val="00CD54FB"/>
    <w:rsid w:val="00CD572C"/>
    <w:rsid w:val="00CD5E61"/>
    <w:rsid w:val="00CD65FF"/>
    <w:rsid w:val="00CD723D"/>
    <w:rsid w:val="00CE0310"/>
    <w:rsid w:val="00CE0463"/>
    <w:rsid w:val="00CE07BF"/>
    <w:rsid w:val="00CE1428"/>
    <w:rsid w:val="00CE243F"/>
    <w:rsid w:val="00CE2477"/>
    <w:rsid w:val="00CE2D2E"/>
    <w:rsid w:val="00CE317D"/>
    <w:rsid w:val="00CE375C"/>
    <w:rsid w:val="00CE3CAC"/>
    <w:rsid w:val="00CE3D40"/>
    <w:rsid w:val="00CE4216"/>
    <w:rsid w:val="00CE421B"/>
    <w:rsid w:val="00CE47D5"/>
    <w:rsid w:val="00CE4CEA"/>
    <w:rsid w:val="00CE50DB"/>
    <w:rsid w:val="00CE590D"/>
    <w:rsid w:val="00CE64EC"/>
    <w:rsid w:val="00CE65DA"/>
    <w:rsid w:val="00CE6E3C"/>
    <w:rsid w:val="00CE73FE"/>
    <w:rsid w:val="00CE7A46"/>
    <w:rsid w:val="00CE7CD7"/>
    <w:rsid w:val="00CF0304"/>
    <w:rsid w:val="00CF085F"/>
    <w:rsid w:val="00CF1249"/>
    <w:rsid w:val="00CF2997"/>
    <w:rsid w:val="00CF2FF3"/>
    <w:rsid w:val="00CF5594"/>
    <w:rsid w:val="00CF570C"/>
    <w:rsid w:val="00CF60C3"/>
    <w:rsid w:val="00CF6139"/>
    <w:rsid w:val="00CF65A4"/>
    <w:rsid w:val="00CF6B87"/>
    <w:rsid w:val="00CF7086"/>
    <w:rsid w:val="00CF721F"/>
    <w:rsid w:val="00CF72C8"/>
    <w:rsid w:val="00CF78A4"/>
    <w:rsid w:val="00CF7935"/>
    <w:rsid w:val="00D008FA"/>
    <w:rsid w:val="00D01A75"/>
    <w:rsid w:val="00D01E02"/>
    <w:rsid w:val="00D025E2"/>
    <w:rsid w:val="00D02E4E"/>
    <w:rsid w:val="00D02FFA"/>
    <w:rsid w:val="00D036B8"/>
    <w:rsid w:val="00D03F83"/>
    <w:rsid w:val="00D042FB"/>
    <w:rsid w:val="00D04496"/>
    <w:rsid w:val="00D04562"/>
    <w:rsid w:val="00D052B4"/>
    <w:rsid w:val="00D0581C"/>
    <w:rsid w:val="00D05909"/>
    <w:rsid w:val="00D07A29"/>
    <w:rsid w:val="00D100B5"/>
    <w:rsid w:val="00D1094D"/>
    <w:rsid w:val="00D10BCB"/>
    <w:rsid w:val="00D11971"/>
    <w:rsid w:val="00D12454"/>
    <w:rsid w:val="00D12945"/>
    <w:rsid w:val="00D12CF5"/>
    <w:rsid w:val="00D12D24"/>
    <w:rsid w:val="00D13705"/>
    <w:rsid w:val="00D14A7E"/>
    <w:rsid w:val="00D14A9F"/>
    <w:rsid w:val="00D14C5A"/>
    <w:rsid w:val="00D1537B"/>
    <w:rsid w:val="00D15657"/>
    <w:rsid w:val="00D15663"/>
    <w:rsid w:val="00D15983"/>
    <w:rsid w:val="00D15CCB"/>
    <w:rsid w:val="00D1648A"/>
    <w:rsid w:val="00D17127"/>
    <w:rsid w:val="00D17E5A"/>
    <w:rsid w:val="00D20A7B"/>
    <w:rsid w:val="00D20CFD"/>
    <w:rsid w:val="00D20E00"/>
    <w:rsid w:val="00D21113"/>
    <w:rsid w:val="00D21ECD"/>
    <w:rsid w:val="00D22309"/>
    <w:rsid w:val="00D22929"/>
    <w:rsid w:val="00D23D7A"/>
    <w:rsid w:val="00D24F0D"/>
    <w:rsid w:val="00D25363"/>
    <w:rsid w:val="00D2547D"/>
    <w:rsid w:val="00D25B29"/>
    <w:rsid w:val="00D25BF6"/>
    <w:rsid w:val="00D26151"/>
    <w:rsid w:val="00D2669C"/>
    <w:rsid w:val="00D2696A"/>
    <w:rsid w:val="00D26A8A"/>
    <w:rsid w:val="00D26D8B"/>
    <w:rsid w:val="00D27B56"/>
    <w:rsid w:val="00D304EE"/>
    <w:rsid w:val="00D3080E"/>
    <w:rsid w:val="00D30C08"/>
    <w:rsid w:val="00D30E72"/>
    <w:rsid w:val="00D312B5"/>
    <w:rsid w:val="00D3167F"/>
    <w:rsid w:val="00D31DA1"/>
    <w:rsid w:val="00D32039"/>
    <w:rsid w:val="00D32678"/>
    <w:rsid w:val="00D32CDC"/>
    <w:rsid w:val="00D32D4F"/>
    <w:rsid w:val="00D338C9"/>
    <w:rsid w:val="00D34E9E"/>
    <w:rsid w:val="00D3525B"/>
    <w:rsid w:val="00D3547C"/>
    <w:rsid w:val="00D35779"/>
    <w:rsid w:val="00D3600F"/>
    <w:rsid w:val="00D36054"/>
    <w:rsid w:val="00D36073"/>
    <w:rsid w:val="00D36916"/>
    <w:rsid w:val="00D370F2"/>
    <w:rsid w:val="00D3712B"/>
    <w:rsid w:val="00D37142"/>
    <w:rsid w:val="00D373F1"/>
    <w:rsid w:val="00D375B3"/>
    <w:rsid w:val="00D4003A"/>
    <w:rsid w:val="00D40514"/>
    <w:rsid w:val="00D41B40"/>
    <w:rsid w:val="00D42289"/>
    <w:rsid w:val="00D426EF"/>
    <w:rsid w:val="00D42C36"/>
    <w:rsid w:val="00D435E4"/>
    <w:rsid w:val="00D43745"/>
    <w:rsid w:val="00D439B0"/>
    <w:rsid w:val="00D43B75"/>
    <w:rsid w:val="00D442DA"/>
    <w:rsid w:val="00D44BD9"/>
    <w:rsid w:val="00D45619"/>
    <w:rsid w:val="00D468ED"/>
    <w:rsid w:val="00D473D3"/>
    <w:rsid w:val="00D47541"/>
    <w:rsid w:val="00D47B9A"/>
    <w:rsid w:val="00D47F8A"/>
    <w:rsid w:val="00D5038B"/>
    <w:rsid w:val="00D50C03"/>
    <w:rsid w:val="00D5133C"/>
    <w:rsid w:val="00D51572"/>
    <w:rsid w:val="00D51A7F"/>
    <w:rsid w:val="00D51C47"/>
    <w:rsid w:val="00D51D51"/>
    <w:rsid w:val="00D51F1D"/>
    <w:rsid w:val="00D521D0"/>
    <w:rsid w:val="00D52448"/>
    <w:rsid w:val="00D52530"/>
    <w:rsid w:val="00D535BF"/>
    <w:rsid w:val="00D536A7"/>
    <w:rsid w:val="00D53846"/>
    <w:rsid w:val="00D53894"/>
    <w:rsid w:val="00D54C73"/>
    <w:rsid w:val="00D55026"/>
    <w:rsid w:val="00D55E1E"/>
    <w:rsid w:val="00D56194"/>
    <w:rsid w:val="00D564AF"/>
    <w:rsid w:val="00D565DB"/>
    <w:rsid w:val="00D573F4"/>
    <w:rsid w:val="00D60241"/>
    <w:rsid w:val="00D61569"/>
    <w:rsid w:val="00D6180E"/>
    <w:rsid w:val="00D61B99"/>
    <w:rsid w:val="00D61F77"/>
    <w:rsid w:val="00D62347"/>
    <w:rsid w:val="00D629CE"/>
    <w:rsid w:val="00D62BD2"/>
    <w:rsid w:val="00D63834"/>
    <w:rsid w:val="00D63F2E"/>
    <w:rsid w:val="00D642AB"/>
    <w:rsid w:val="00D645F7"/>
    <w:rsid w:val="00D655BB"/>
    <w:rsid w:val="00D655FD"/>
    <w:rsid w:val="00D65F91"/>
    <w:rsid w:val="00D663F9"/>
    <w:rsid w:val="00D66A0F"/>
    <w:rsid w:val="00D66AC4"/>
    <w:rsid w:val="00D66B78"/>
    <w:rsid w:val="00D66CE9"/>
    <w:rsid w:val="00D70011"/>
    <w:rsid w:val="00D70F59"/>
    <w:rsid w:val="00D7178D"/>
    <w:rsid w:val="00D72024"/>
    <w:rsid w:val="00D7202C"/>
    <w:rsid w:val="00D72459"/>
    <w:rsid w:val="00D7271C"/>
    <w:rsid w:val="00D72B94"/>
    <w:rsid w:val="00D73741"/>
    <w:rsid w:val="00D74873"/>
    <w:rsid w:val="00D74E48"/>
    <w:rsid w:val="00D75284"/>
    <w:rsid w:val="00D76058"/>
    <w:rsid w:val="00D76E37"/>
    <w:rsid w:val="00D770CD"/>
    <w:rsid w:val="00D77F8F"/>
    <w:rsid w:val="00D8058B"/>
    <w:rsid w:val="00D815FF"/>
    <w:rsid w:val="00D81649"/>
    <w:rsid w:val="00D819B3"/>
    <w:rsid w:val="00D828B9"/>
    <w:rsid w:val="00D82ED6"/>
    <w:rsid w:val="00D83597"/>
    <w:rsid w:val="00D84341"/>
    <w:rsid w:val="00D84342"/>
    <w:rsid w:val="00D84858"/>
    <w:rsid w:val="00D84985"/>
    <w:rsid w:val="00D84BF1"/>
    <w:rsid w:val="00D85BB8"/>
    <w:rsid w:val="00D85E01"/>
    <w:rsid w:val="00D8754C"/>
    <w:rsid w:val="00D87904"/>
    <w:rsid w:val="00D87B58"/>
    <w:rsid w:val="00D87F0F"/>
    <w:rsid w:val="00D90776"/>
    <w:rsid w:val="00D909E5"/>
    <w:rsid w:val="00D91662"/>
    <w:rsid w:val="00D91DEB"/>
    <w:rsid w:val="00D92CEC"/>
    <w:rsid w:val="00D92EDF"/>
    <w:rsid w:val="00D92FF1"/>
    <w:rsid w:val="00D93721"/>
    <w:rsid w:val="00D9503C"/>
    <w:rsid w:val="00D950C2"/>
    <w:rsid w:val="00D95613"/>
    <w:rsid w:val="00D9567C"/>
    <w:rsid w:val="00D95703"/>
    <w:rsid w:val="00D964B4"/>
    <w:rsid w:val="00D96A68"/>
    <w:rsid w:val="00D96AAB"/>
    <w:rsid w:val="00D96DB7"/>
    <w:rsid w:val="00D96FE5"/>
    <w:rsid w:val="00D973D9"/>
    <w:rsid w:val="00D97449"/>
    <w:rsid w:val="00DA08F7"/>
    <w:rsid w:val="00DA0AC5"/>
    <w:rsid w:val="00DA0F90"/>
    <w:rsid w:val="00DA1364"/>
    <w:rsid w:val="00DA306F"/>
    <w:rsid w:val="00DA3A2F"/>
    <w:rsid w:val="00DA45F9"/>
    <w:rsid w:val="00DA46D1"/>
    <w:rsid w:val="00DA605A"/>
    <w:rsid w:val="00DA6271"/>
    <w:rsid w:val="00DA65A6"/>
    <w:rsid w:val="00DA68E6"/>
    <w:rsid w:val="00DA7198"/>
    <w:rsid w:val="00DA7624"/>
    <w:rsid w:val="00DA78BE"/>
    <w:rsid w:val="00DA7961"/>
    <w:rsid w:val="00DA7B6A"/>
    <w:rsid w:val="00DA7BA1"/>
    <w:rsid w:val="00DA7E4D"/>
    <w:rsid w:val="00DB03F7"/>
    <w:rsid w:val="00DB05C8"/>
    <w:rsid w:val="00DB0B5A"/>
    <w:rsid w:val="00DB0D68"/>
    <w:rsid w:val="00DB1676"/>
    <w:rsid w:val="00DB1A8C"/>
    <w:rsid w:val="00DB1C03"/>
    <w:rsid w:val="00DB1ECC"/>
    <w:rsid w:val="00DB1F5F"/>
    <w:rsid w:val="00DB288C"/>
    <w:rsid w:val="00DB29B5"/>
    <w:rsid w:val="00DB2B48"/>
    <w:rsid w:val="00DB3B17"/>
    <w:rsid w:val="00DB3C84"/>
    <w:rsid w:val="00DB4523"/>
    <w:rsid w:val="00DB556A"/>
    <w:rsid w:val="00DB5732"/>
    <w:rsid w:val="00DB64E2"/>
    <w:rsid w:val="00DB6BBB"/>
    <w:rsid w:val="00DB6D4F"/>
    <w:rsid w:val="00DB7184"/>
    <w:rsid w:val="00DB7E5E"/>
    <w:rsid w:val="00DB7F5B"/>
    <w:rsid w:val="00DC090A"/>
    <w:rsid w:val="00DC0AE8"/>
    <w:rsid w:val="00DC13C8"/>
    <w:rsid w:val="00DC18D7"/>
    <w:rsid w:val="00DC21F0"/>
    <w:rsid w:val="00DC25CF"/>
    <w:rsid w:val="00DC2C7D"/>
    <w:rsid w:val="00DC2CF8"/>
    <w:rsid w:val="00DC3482"/>
    <w:rsid w:val="00DC3622"/>
    <w:rsid w:val="00DC36A2"/>
    <w:rsid w:val="00DC3848"/>
    <w:rsid w:val="00DC39F3"/>
    <w:rsid w:val="00DC3DC6"/>
    <w:rsid w:val="00DC4503"/>
    <w:rsid w:val="00DC4576"/>
    <w:rsid w:val="00DC4835"/>
    <w:rsid w:val="00DC4FC9"/>
    <w:rsid w:val="00DC529C"/>
    <w:rsid w:val="00DC53D2"/>
    <w:rsid w:val="00DC5401"/>
    <w:rsid w:val="00DC6CB2"/>
    <w:rsid w:val="00DC70DA"/>
    <w:rsid w:val="00DC7282"/>
    <w:rsid w:val="00DC772A"/>
    <w:rsid w:val="00DC7B96"/>
    <w:rsid w:val="00DC7E30"/>
    <w:rsid w:val="00DC7E39"/>
    <w:rsid w:val="00DD0C6B"/>
    <w:rsid w:val="00DD0D6F"/>
    <w:rsid w:val="00DD1190"/>
    <w:rsid w:val="00DD12D6"/>
    <w:rsid w:val="00DD1F89"/>
    <w:rsid w:val="00DD2459"/>
    <w:rsid w:val="00DD29BA"/>
    <w:rsid w:val="00DD2D0A"/>
    <w:rsid w:val="00DD37D7"/>
    <w:rsid w:val="00DD3B56"/>
    <w:rsid w:val="00DD3C1C"/>
    <w:rsid w:val="00DD4799"/>
    <w:rsid w:val="00DD4D8F"/>
    <w:rsid w:val="00DD4F83"/>
    <w:rsid w:val="00DD593A"/>
    <w:rsid w:val="00DD714B"/>
    <w:rsid w:val="00DD7312"/>
    <w:rsid w:val="00DD7A4A"/>
    <w:rsid w:val="00DD7A62"/>
    <w:rsid w:val="00DE091E"/>
    <w:rsid w:val="00DE091F"/>
    <w:rsid w:val="00DE098B"/>
    <w:rsid w:val="00DE0A00"/>
    <w:rsid w:val="00DE0FBE"/>
    <w:rsid w:val="00DE1097"/>
    <w:rsid w:val="00DE2589"/>
    <w:rsid w:val="00DE2838"/>
    <w:rsid w:val="00DE3400"/>
    <w:rsid w:val="00DE36F7"/>
    <w:rsid w:val="00DE40CA"/>
    <w:rsid w:val="00DE444A"/>
    <w:rsid w:val="00DE51C4"/>
    <w:rsid w:val="00DE547C"/>
    <w:rsid w:val="00DE5F71"/>
    <w:rsid w:val="00DE6361"/>
    <w:rsid w:val="00DE71E0"/>
    <w:rsid w:val="00DE7375"/>
    <w:rsid w:val="00DF07CC"/>
    <w:rsid w:val="00DF0E3F"/>
    <w:rsid w:val="00DF0FDE"/>
    <w:rsid w:val="00DF19AD"/>
    <w:rsid w:val="00DF29B3"/>
    <w:rsid w:val="00DF3778"/>
    <w:rsid w:val="00DF4182"/>
    <w:rsid w:val="00DF5117"/>
    <w:rsid w:val="00DF5C3C"/>
    <w:rsid w:val="00DF6159"/>
    <w:rsid w:val="00DF6D3F"/>
    <w:rsid w:val="00DF75BC"/>
    <w:rsid w:val="00DF7EA9"/>
    <w:rsid w:val="00E016B0"/>
    <w:rsid w:val="00E01D14"/>
    <w:rsid w:val="00E02DD5"/>
    <w:rsid w:val="00E02DFA"/>
    <w:rsid w:val="00E037B5"/>
    <w:rsid w:val="00E03878"/>
    <w:rsid w:val="00E03A6A"/>
    <w:rsid w:val="00E0523D"/>
    <w:rsid w:val="00E0582C"/>
    <w:rsid w:val="00E05B6D"/>
    <w:rsid w:val="00E05D0E"/>
    <w:rsid w:val="00E0638A"/>
    <w:rsid w:val="00E06EC8"/>
    <w:rsid w:val="00E07AAB"/>
    <w:rsid w:val="00E07CF8"/>
    <w:rsid w:val="00E07D94"/>
    <w:rsid w:val="00E07ECA"/>
    <w:rsid w:val="00E07F9F"/>
    <w:rsid w:val="00E113E8"/>
    <w:rsid w:val="00E11701"/>
    <w:rsid w:val="00E1193B"/>
    <w:rsid w:val="00E1233F"/>
    <w:rsid w:val="00E13487"/>
    <w:rsid w:val="00E13985"/>
    <w:rsid w:val="00E13A98"/>
    <w:rsid w:val="00E13D83"/>
    <w:rsid w:val="00E14734"/>
    <w:rsid w:val="00E148DD"/>
    <w:rsid w:val="00E14FC8"/>
    <w:rsid w:val="00E15BDF"/>
    <w:rsid w:val="00E15CDA"/>
    <w:rsid w:val="00E15E33"/>
    <w:rsid w:val="00E16781"/>
    <w:rsid w:val="00E16813"/>
    <w:rsid w:val="00E20049"/>
    <w:rsid w:val="00E20415"/>
    <w:rsid w:val="00E210C3"/>
    <w:rsid w:val="00E212F5"/>
    <w:rsid w:val="00E21CBD"/>
    <w:rsid w:val="00E22053"/>
    <w:rsid w:val="00E224F6"/>
    <w:rsid w:val="00E22CDC"/>
    <w:rsid w:val="00E23492"/>
    <w:rsid w:val="00E2378D"/>
    <w:rsid w:val="00E24100"/>
    <w:rsid w:val="00E252E9"/>
    <w:rsid w:val="00E258CC"/>
    <w:rsid w:val="00E25B75"/>
    <w:rsid w:val="00E25EBA"/>
    <w:rsid w:val="00E2628F"/>
    <w:rsid w:val="00E26BC4"/>
    <w:rsid w:val="00E26C6B"/>
    <w:rsid w:val="00E26D92"/>
    <w:rsid w:val="00E2771F"/>
    <w:rsid w:val="00E27EC8"/>
    <w:rsid w:val="00E30AC8"/>
    <w:rsid w:val="00E30D9A"/>
    <w:rsid w:val="00E31117"/>
    <w:rsid w:val="00E31915"/>
    <w:rsid w:val="00E326CD"/>
    <w:rsid w:val="00E328A0"/>
    <w:rsid w:val="00E32E73"/>
    <w:rsid w:val="00E33249"/>
    <w:rsid w:val="00E334AA"/>
    <w:rsid w:val="00E33790"/>
    <w:rsid w:val="00E345DC"/>
    <w:rsid w:val="00E34ABF"/>
    <w:rsid w:val="00E34CDC"/>
    <w:rsid w:val="00E34F74"/>
    <w:rsid w:val="00E35876"/>
    <w:rsid w:val="00E35F4E"/>
    <w:rsid w:val="00E35F5E"/>
    <w:rsid w:val="00E36002"/>
    <w:rsid w:val="00E360C1"/>
    <w:rsid w:val="00E362C1"/>
    <w:rsid w:val="00E362CB"/>
    <w:rsid w:val="00E364AD"/>
    <w:rsid w:val="00E36B4F"/>
    <w:rsid w:val="00E40638"/>
    <w:rsid w:val="00E40694"/>
    <w:rsid w:val="00E41A76"/>
    <w:rsid w:val="00E41EE0"/>
    <w:rsid w:val="00E41F12"/>
    <w:rsid w:val="00E42274"/>
    <w:rsid w:val="00E4249C"/>
    <w:rsid w:val="00E425AB"/>
    <w:rsid w:val="00E4279F"/>
    <w:rsid w:val="00E428D1"/>
    <w:rsid w:val="00E43346"/>
    <w:rsid w:val="00E43821"/>
    <w:rsid w:val="00E44110"/>
    <w:rsid w:val="00E442F6"/>
    <w:rsid w:val="00E4501E"/>
    <w:rsid w:val="00E45694"/>
    <w:rsid w:val="00E45705"/>
    <w:rsid w:val="00E45DBA"/>
    <w:rsid w:val="00E46184"/>
    <w:rsid w:val="00E4620B"/>
    <w:rsid w:val="00E46707"/>
    <w:rsid w:val="00E467DE"/>
    <w:rsid w:val="00E4681D"/>
    <w:rsid w:val="00E4727C"/>
    <w:rsid w:val="00E47C71"/>
    <w:rsid w:val="00E47D40"/>
    <w:rsid w:val="00E50994"/>
    <w:rsid w:val="00E51007"/>
    <w:rsid w:val="00E51536"/>
    <w:rsid w:val="00E51F3A"/>
    <w:rsid w:val="00E52F06"/>
    <w:rsid w:val="00E53007"/>
    <w:rsid w:val="00E5302A"/>
    <w:rsid w:val="00E53334"/>
    <w:rsid w:val="00E535AE"/>
    <w:rsid w:val="00E53BEA"/>
    <w:rsid w:val="00E546BB"/>
    <w:rsid w:val="00E55560"/>
    <w:rsid w:val="00E55570"/>
    <w:rsid w:val="00E56605"/>
    <w:rsid w:val="00E569C2"/>
    <w:rsid w:val="00E56BAD"/>
    <w:rsid w:val="00E57172"/>
    <w:rsid w:val="00E573E0"/>
    <w:rsid w:val="00E60224"/>
    <w:rsid w:val="00E608FE"/>
    <w:rsid w:val="00E60A5A"/>
    <w:rsid w:val="00E61934"/>
    <w:rsid w:val="00E62F55"/>
    <w:rsid w:val="00E632E6"/>
    <w:rsid w:val="00E63BBA"/>
    <w:rsid w:val="00E63DC5"/>
    <w:rsid w:val="00E656A7"/>
    <w:rsid w:val="00E656CF"/>
    <w:rsid w:val="00E65729"/>
    <w:rsid w:val="00E66447"/>
    <w:rsid w:val="00E676DF"/>
    <w:rsid w:val="00E67C29"/>
    <w:rsid w:val="00E70E30"/>
    <w:rsid w:val="00E71B77"/>
    <w:rsid w:val="00E71EE4"/>
    <w:rsid w:val="00E72A14"/>
    <w:rsid w:val="00E72AAE"/>
    <w:rsid w:val="00E72CAF"/>
    <w:rsid w:val="00E72FC3"/>
    <w:rsid w:val="00E730D5"/>
    <w:rsid w:val="00E7381D"/>
    <w:rsid w:val="00E74A1E"/>
    <w:rsid w:val="00E750BD"/>
    <w:rsid w:val="00E7576C"/>
    <w:rsid w:val="00E75E05"/>
    <w:rsid w:val="00E769A8"/>
    <w:rsid w:val="00E775DC"/>
    <w:rsid w:val="00E804CA"/>
    <w:rsid w:val="00E809B6"/>
    <w:rsid w:val="00E80A96"/>
    <w:rsid w:val="00E8126D"/>
    <w:rsid w:val="00E81623"/>
    <w:rsid w:val="00E8179B"/>
    <w:rsid w:val="00E82167"/>
    <w:rsid w:val="00E8354A"/>
    <w:rsid w:val="00E849EA"/>
    <w:rsid w:val="00E8519E"/>
    <w:rsid w:val="00E85275"/>
    <w:rsid w:val="00E8530F"/>
    <w:rsid w:val="00E8538C"/>
    <w:rsid w:val="00E8571E"/>
    <w:rsid w:val="00E85A00"/>
    <w:rsid w:val="00E85BFC"/>
    <w:rsid w:val="00E86348"/>
    <w:rsid w:val="00E8714E"/>
    <w:rsid w:val="00E87391"/>
    <w:rsid w:val="00E87446"/>
    <w:rsid w:val="00E875C1"/>
    <w:rsid w:val="00E87729"/>
    <w:rsid w:val="00E87E10"/>
    <w:rsid w:val="00E91178"/>
    <w:rsid w:val="00E91B72"/>
    <w:rsid w:val="00E92EF1"/>
    <w:rsid w:val="00E939EE"/>
    <w:rsid w:val="00E93DFD"/>
    <w:rsid w:val="00E93F56"/>
    <w:rsid w:val="00E947FE"/>
    <w:rsid w:val="00E949C5"/>
    <w:rsid w:val="00E94D84"/>
    <w:rsid w:val="00E95058"/>
    <w:rsid w:val="00E9509E"/>
    <w:rsid w:val="00E953AE"/>
    <w:rsid w:val="00E9576A"/>
    <w:rsid w:val="00E95C60"/>
    <w:rsid w:val="00E95D57"/>
    <w:rsid w:val="00E96847"/>
    <w:rsid w:val="00E96CE8"/>
    <w:rsid w:val="00E970E3"/>
    <w:rsid w:val="00E9735E"/>
    <w:rsid w:val="00E978BF"/>
    <w:rsid w:val="00EA02A6"/>
    <w:rsid w:val="00EA07D4"/>
    <w:rsid w:val="00EA0B56"/>
    <w:rsid w:val="00EA0FC9"/>
    <w:rsid w:val="00EA19E4"/>
    <w:rsid w:val="00EA2847"/>
    <w:rsid w:val="00EA2A0F"/>
    <w:rsid w:val="00EA2CBD"/>
    <w:rsid w:val="00EA387D"/>
    <w:rsid w:val="00EA4E31"/>
    <w:rsid w:val="00EA5334"/>
    <w:rsid w:val="00EA5442"/>
    <w:rsid w:val="00EA5EF7"/>
    <w:rsid w:val="00EA6263"/>
    <w:rsid w:val="00EA75F9"/>
    <w:rsid w:val="00EA784B"/>
    <w:rsid w:val="00EA7B5A"/>
    <w:rsid w:val="00EB0DA7"/>
    <w:rsid w:val="00EB11AA"/>
    <w:rsid w:val="00EB1B41"/>
    <w:rsid w:val="00EB1D51"/>
    <w:rsid w:val="00EB2322"/>
    <w:rsid w:val="00EB28EB"/>
    <w:rsid w:val="00EB38DA"/>
    <w:rsid w:val="00EB3D2C"/>
    <w:rsid w:val="00EB3EF7"/>
    <w:rsid w:val="00EB4914"/>
    <w:rsid w:val="00EB4C80"/>
    <w:rsid w:val="00EB4E89"/>
    <w:rsid w:val="00EB5F19"/>
    <w:rsid w:val="00EB6EF9"/>
    <w:rsid w:val="00EB6FD4"/>
    <w:rsid w:val="00EB7137"/>
    <w:rsid w:val="00EB7220"/>
    <w:rsid w:val="00EB76F6"/>
    <w:rsid w:val="00EC03BE"/>
    <w:rsid w:val="00EC03C3"/>
    <w:rsid w:val="00EC04C4"/>
    <w:rsid w:val="00EC085F"/>
    <w:rsid w:val="00EC190D"/>
    <w:rsid w:val="00EC1EAE"/>
    <w:rsid w:val="00EC3679"/>
    <w:rsid w:val="00EC3B57"/>
    <w:rsid w:val="00EC3D5F"/>
    <w:rsid w:val="00EC3FEB"/>
    <w:rsid w:val="00EC43BA"/>
    <w:rsid w:val="00EC44A6"/>
    <w:rsid w:val="00EC464A"/>
    <w:rsid w:val="00EC47CA"/>
    <w:rsid w:val="00EC5817"/>
    <w:rsid w:val="00EC5975"/>
    <w:rsid w:val="00EC5B00"/>
    <w:rsid w:val="00EC5C3E"/>
    <w:rsid w:val="00EC5D4F"/>
    <w:rsid w:val="00EC5DA2"/>
    <w:rsid w:val="00EC5DCB"/>
    <w:rsid w:val="00EC6324"/>
    <w:rsid w:val="00EC6693"/>
    <w:rsid w:val="00EC72FB"/>
    <w:rsid w:val="00EC7333"/>
    <w:rsid w:val="00EC786E"/>
    <w:rsid w:val="00EC7F24"/>
    <w:rsid w:val="00ED0289"/>
    <w:rsid w:val="00ED0704"/>
    <w:rsid w:val="00ED0A4F"/>
    <w:rsid w:val="00ED1655"/>
    <w:rsid w:val="00ED1964"/>
    <w:rsid w:val="00ED1D4F"/>
    <w:rsid w:val="00ED304F"/>
    <w:rsid w:val="00ED30E6"/>
    <w:rsid w:val="00ED4489"/>
    <w:rsid w:val="00ED495C"/>
    <w:rsid w:val="00ED49D3"/>
    <w:rsid w:val="00ED4BEA"/>
    <w:rsid w:val="00ED5522"/>
    <w:rsid w:val="00ED63E5"/>
    <w:rsid w:val="00ED6A32"/>
    <w:rsid w:val="00ED6F6C"/>
    <w:rsid w:val="00ED7385"/>
    <w:rsid w:val="00ED75CC"/>
    <w:rsid w:val="00ED7D9C"/>
    <w:rsid w:val="00EE156A"/>
    <w:rsid w:val="00EE16F3"/>
    <w:rsid w:val="00EE18E9"/>
    <w:rsid w:val="00EE32E8"/>
    <w:rsid w:val="00EE3419"/>
    <w:rsid w:val="00EE34F0"/>
    <w:rsid w:val="00EE3646"/>
    <w:rsid w:val="00EE447B"/>
    <w:rsid w:val="00EE62A2"/>
    <w:rsid w:val="00EE6EEB"/>
    <w:rsid w:val="00EE7DEA"/>
    <w:rsid w:val="00EF12FA"/>
    <w:rsid w:val="00EF1F5D"/>
    <w:rsid w:val="00EF21D2"/>
    <w:rsid w:val="00EF2F44"/>
    <w:rsid w:val="00EF3677"/>
    <w:rsid w:val="00EF3BB1"/>
    <w:rsid w:val="00EF3BD4"/>
    <w:rsid w:val="00EF453C"/>
    <w:rsid w:val="00EF539C"/>
    <w:rsid w:val="00EF5C85"/>
    <w:rsid w:val="00EF661B"/>
    <w:rsid w:val="00EF73B6"/>
    <w:rsid w:val="00EF7FEA"/>
    <w:rsid w:val="00F0123D"/>
    <w:rsid w:val="00F016DC"/>
    <w:rsid w:val="00F01B1F"/>
    <w:rsid w:val="00F0355E"/>
    <w:rsid w:val="00F03E70"/>
    <w:rsid w:val="00F03F87"/>
    <w:rsid w:val="00F040C5"/>
    <w:rsid w:val="00F040D7"/>
    <w:rsid w:val="00F04536"/>
    <w:rsid w:val="00F0455F"/>
    <w:rsid w:val="00F05970"/>
    <w:rsid w:val="00F05B03"/>
    <w:rsid w:val="00F05FA1"/>
    <w:rsid w:val="00F0604A"/>
    <w:rsid w:val="00F0621C"/>
    <w:rsid w:val="00F0648A"/>
    <w:rsid w:val="00F067FD"/>
    <w:rsid w:val="00F07647"/>
    <w:rsid w:val="00F0774C"/>
    <w:rsid w:val="00F077D2"/>
    <w:rsid w:val="00F10B0D"/>
    <w:rsid w:val="00F11442"/>
    <w:rsid w:val="00F125AA"/>
    <w:rsid w:val="00F12951"/>
    <w:rsid w:val="00F12BFF"/>
    <w:rsid w:val="00F13690"/>
    <w:rsid w:val="00F13D06"/>
    <w:rsid w:val="00F13ED2"/>
    <w:rsid w:val="00F147B8"/>
    <w:rsid w:val="00F14837"/>
    <w:rsid w:val="00F15293"/>
    <w:rsid w:val="00F15EBB"/>
    <w:rsid w:val="00F16638"/>
    <w:rsid w:val="00F16929"/>
    <w:rsid w:val="00F17080"/>
    <w:rsid w:val="00F1718A"/>
    <w:rsid w:val="00F17363"/>
    <w:rsid w:val="00F1761A"/>
    <w:rsid w:val="00F20123"/>
    <w:rsid w:val="00F208B4"/>
    <w:rsid w:val="00F2218B"/>
    <w:rsid w:val="00F22953"/>
    <w:rsid w:val="00F22966"/>
    <w:rsid w:val="00F23552"/>
    <w:rsid w:val="00F23972"/>
    <w:rsid w:val="00F23BC7"/>
    <w:rsid w:val="00F24281"/>
    <w:rsid w:val="00F2463E"/>
    <w:rsid w:val="00F25399"/>
    <w:rsid w:val="00F25799"/>
    <w:rsid w:val="00F25B77"/>
    <w:rsid w:val="00F25C73"/>
    <w:rsid w:val="00F266D8"/>
    <w:rsid w:val="00F26BE6"/>
    <w:rsid w:val="00F26D01"/>
    <w:rsid w:val="00F26E56"/>
    <w:rsid w:val="00F27519"/>
    <w:rsid w:val="00F2757E"/>
    <w:rsid w:val="00F304AE"/>
    <w:rsid w:val="00F31AB5"/>
    <w:rsid w:val="00F31ABB"/>
    <w:rsid w:val="00F32ED3"/>
    <w:rsid w:val="00F34901"/>
    <w:rsid w:val="00F34D69"/>
    <w:rsid w:val="00F34E20"/>
    <w:rsid w:val="00F366F4"/>
    <w:rsid w:val="00F36848"/>
    <w:rsid w:val="00F36A76"/>
    <w:rsid w:val="00F37983"/>
    <w:rsid w:val="00F40B1E"/>
    <w:rsid w:val="00F40C29"/>
    <w:rsid w:val="00F40FC3"/>
    <w:rsid w:val="00F414B6"/>
    <w:rsid w:val="00F41E45"/>
    <w:rsid w:val="00F42570"/>
    <w:rsid w:val="00F4285E"/>
    <w:rsid w:val="00F4297A"/>
    <w:rsid w:val="00F43574"/>
    <w:rsid w:val="00F4373A"/>
    <w:rsid w:val="00F44316"/>
    <w:rsid w:val="00F4488A"/>
    <w:rsid w:val="00F44B59"/>
    <w:rsid w:val="00F44F9B"/>
    <w:rsid w:val="00F44FFA"/>
    <w:rsid w:val="00F450D0"/>
    <w:rsid w:val="00F4559B"/>
    <w:rsid w:val="00F4563E"/>
    <w:rsid w:val="00F45BC7"/>
    <w:rsid w:val="00F45DAC"/>
    <w:rsid w:val="00F46025"/>
    <w:rsid w:val="00F460C5"/>
    <w:rsid w:val="00F461B0"/>
    <w:rsid w:val="00F4711C"/>
    <w:rsid w:val="00F472BC"/>
    <w:rsid w:val="00F472ED"/>
    <w:rsid w:val="00F474E9"/>
    <w:rsid w:val="00F47771"/>
    <w:rsid w:val="00F479BA"/>
    <w:rsid w:val="00F51D72"/>
    <w:rsid w:val="00F5292B"/>
    <w:rsid w:val="00F53C4E"/>
    <w:rsid w:val="00F540D3"/>
    <w:rsid w:val="00F54101"/>
    <w:rsid w:val="00F54821"/>
    <w:rsid w:val="00F54A18"/>
    <w:rsid w:val="00F54B49"/>
    <w:rsid w:val="00F5533B"/>
    <w:rsid w:val="00F554CB"/>
    <w:rsid w:val="00F557AA"/>
    <w:rsid w:val="00F5589D"/>
    <w:rsid w:val="00F55ED3"/>
    <w:rsid w:val="00F5635D"/>
    <w:rsid w:val="00F566A5"/>
    <w:rsid w:val="00F56E5B"/>
    <w:rsid w:val="00F5790D"/>
    <w:rsid w:val="00F60102"/>
    <w:rsid w:val="00F60164"/>
    <w:rsid w:val="00F601F9"/>
    <w:rsid w:val="00F6046A"/>
    <w:rsid w:val="00F6052E"/>
    <w:rsid w:val="00F607A0"/>
    <w:rsid w:val="00F624BA"/>
    <w:rsid w:val="00F63367"/>
    <w:rsid w:val="00F63EDF"/>
    <w:rsid w:val="00F6429C"/>
    <w:rsid w:val="00F64E81"/>
    <w:rsid w:val="00F66808"/>
    <w:rsid w:val="00F66B8F"/>
    <w:rsid w:val="00F66F4A"/>
    <w:rsid w:val="00F671DF"/>
    <w:rsid w:val="00F67789"/>
    <w:rsid w:val="00F677B4"/>
    <w:rsid w:val="00F67889"/>
    <w:rsid w:val="00F67C4F"/>
    <w:rsid w:val="00F67C54"/>
    <w:rsid w:val="00F67FF6"/>
    <w:rsid w:val="00F70102"/>
    <w:rsid w:val="00F705EF"/>
    <w:rsid w:val="00F70DCF"/>
    <w:rsid w:val="00F70F15"/>
    <w:rsid w:val="00F71027"/>
    <w:rsid w:val="00F7233E"/>
    <w:rsid w:val="00F727F3"/>
    <w:rsid w:val="00F72C3B"/>
    <w:rsid w:val="00F73362"/>
    <w:rsid w:val="00F73465"/>
    <w:rsid w:val="00F734BE"/>
    <w:rsid w:val="00F7360E"/>
    <w:rsid w:val="00F73AC1"/>
    <w:rsid w:val="00F73D39"/>
    <w:rsid w:val="00F7407E"/>
    <w:rsid w:val="00F74E36"/>
    <w:rsid w:val="00F75194"/>
    <w:rsid w:val="00F751CA"/>
    <w:rsid w:val="00F75355"/>
    <w:rsid w:val="00F75AB6"/>
    <w:rsid w:val="00F77615"/>
    <w:rsid w:val="00F77845"/>
    <w:rsid w:val="00F80212"/>
    <w:rsid w:val="00F80378"/>
    <w:rsid w:val="00F806F2"/>
    <w:rsid w:val="00F81244"/>
    <w:rsid w:val="00F8189D"/>
    <w:rsid w:val="00F8252C"/>
    <w:rsid w:val="00F82A99"/>
    <w:rsid w:val="00F8326C"/>
    <w:rsid w:val="00F83B3F"/>
    <w:rsid w:val="00F83F23"/>
    <w:rsid w:val="00F8424B"/>
    <w:rsid w:val="00F849B7"/>
    <w:rsid w:val="00F85437"/>
    <w:rsid w:val="00F85C70"/>
    <w:rsid w:val="00F869DA"/>
    <w:rsid w:val="00F86D3D"/>
    <w:rsid w:val="00F87310"/>
    <w:rsid w:val="00F87FA2"/>
    <w:rsid w:val="00F90368"/>
    <w:rsid w:val="00F906EE"/>
    <w:rsid w:val="00F90E14"/>
    <w:rsid w:val="00F90FE9"/>
    <w:rsid w:val="00F921FB"/>
    <w:rsid w:val="00F92791"/>
    <w:rsid w:val="00F927B6"/>
    <w:rsid w:val="00F92A68"/>
    <w:rsid w:val="00F9402A"/>
    <w:rsid w:val="00F942AC"/>
    <w:rsid w:val="00F94855"/>
    <w:rsid w:val="00F951F9"/>
    <w:rsid w:val="00F95E37"/>
    <w:rsid w:val="00F9611C"/>
    <w:rsid w:val="00F96954"/>
    <w:rsid w:val="00F96C1A"/>
    <w:rsid w:val="00F96E86"/>
    <w:rsid w:val="00F9758B"/>
    <w:rsid w:val="00FA02F0"/>
    <w:rsid w:val="00FA1E1B"/>
    <w:rsid w:val="00FA1F0C"/>
    <w:rsid w:val="00FA2288"/>
    <w:rsid w:val="00FA28D4"/>
    <w:rsid w:val="00FA2B3C"/>
    <w:rsid w:val="00FA2E1A"/>
    <w:rsid w:val="00FA31C2"/>
    <w:rsid w:val="00FA3AE7"/>
    <w:rsid w:val="00FA424F"/>
    <w:rsid w:val="00FA4F2C"/>
    <w:rsid w:val="00FA5196"/>
    <w:rsid w:val="00FA56F1"/>
    <w:rsid w:val="00FA657C"/>
    <w:rsid w:val="00FA6638"/>
    <w:rsid w:val="00FA666F"/>
    <w:rsid w:val="00FA7FBD"/>
    <w:rsid w:val="00FB093C"/>
    <w:rsid w:val="00FB09A5"/>
    <w:rsid w:val="00FB1936"/>
    <w:rsid w:val="00FB1C58"/>
    <w:rsid w:val="00FB226F"/>
    <w:rsid w:val="00FB24BC"/>
    <w:rsid w:val="00FB2AFE"/>
    <w:rsid w:val="00FB323E"/>
    <w:rsid w:val="00FB3DC0"/>
    <w:rsid w:val="00FB478B"/>
    <w:rsid w:val="00FB4E62"/>
    <w:rsid w:val="00FB575A"/>
    <w:rsid w:val="00FB5E30"/>
    <w:rsid w:val="00FB60FB"/>
    <w:rsid w:val="00FB6173"/>
    <w:rsid w:val="00FB646B"/>
    <w:rsid w:val="00FB6554"/>
    <w:rsid w:val="00FB6963"/>
    <w:rsid w:val="00FB7277"/>
    <w:rsid w:val="00FB7936"/>
    <w:rsid w:val="00FB7ECE"/>
    <w:rsid w:val="00FB7FC8"/>
    <w:rsid w:val="00FC07AC"/>
    <w:rsid w:val="00FC0F86"/>
    <w:rsid w:val="00FC11A1"/>
    <w:rsid w:val="00FC13E7"/>
    <w:rsid w:val="00FC232C"/>
    <w:rsid w:val="00FC2E7C"/>
    <w:rsid w:val="00FC323A"/>
    <w:rsid w:val="00FC3DC5"/>
    <w:rsid w:val="00FC4242"/>
    <w:rsid w:val="00FC448E"/>
    <w:rsid w:val="00FC51AE"/>
    <w:rsid w:val="00FC5AC4"/>
    <w:rsid w:val="00FC6A48"/>
    <w:rsid w:val="00FC6C52"/>
    <w:rsid w:val="00FC7FB8"/>
    <w:rsid w:val="00FD01A7"/>
    <w:rsid w:val="00FD061F"/>
    <w:rsid w:val="00FD0CE9"/>
    <w:rsid w:val="00FD14C9"/>
    <w:rsid w:val="00FD1DB6"/>
    <w:rsid w:val="00FD1E52"/>
    <w:rsid w:val="00FD2404"/>
    <w:rsid w:val="00FD27C7"/>
    <w:rsid w:val="00FD27C9"/>
    <w:rsid w:val="00FD3098"/>
    <w:rsid w:val="00FD315F"/>
    <w:rsid w:val="00FD329C"/>
    <w:rsid w:val="00FD3546"/>
    <w:rsid w:val="00FD4550"/>
    <w:rsid w:val="00FD485B"/>
    <w:rsid w:val="00FD4FB5"/>
    <w:rsid w:val="00FD5251"/>
    <w:rsid w:val="00FD59DB"/>
    <w:rsid w:val="00FD64DF"/>
    <w:rsid w:val="00FD6A35"/>
    <w:rsid w:val="00FD7A98"/>
    <w:rsid w:val="00FD7F8A"/>
    <w:rsid w:val="00FE010C"/>
    <w:rsid w:val="00FE0EB5"/>
    <w:rsid w:val="00FE138B"/>
    <w:rsid w:val="00FE27EE"/>
    <w:rsid w:val="00FE2B5F"/>
    <w:rsid w:val="00FE2BBA"/>
    <w:rsid w:val="00FE2E90"/>
    <w:rsid w:val="00FE34B6"/>
    <w:rsid w:val="00FE3D30"/>
    <w:rsid w:val="00FE4085"/>
    <w:rsid w:val="00FE53F6"/>
    <w:rsid w:val="00FE6205"/>
    <w:rsid w:val="00FE62AB"/>
    <w:rsid w:val="00FE661B"/>
    <w:rsid w:val="00FE6843"/>
    <w:rsid w:val="00FE6A37"/>
    <w:rsid w:val="00FE6CFA"/>
    <w:rsid w:val="00FE6ED9"/>
    <w:rsid w:val="00FE6FEA"/>
    <w:rsid w:val="00FE744F"/>
    <w:rsid w:val="00FE7509"/>
    <w:rsid w:val="00FE7A2A"/>
    <w:rsid w:val="00FF082C"/>
    <w:rsid w:val="00FF08BB"/>
    <w:rsid w:val="00FF0DE5"/>
    <w:rsid w:val="00FF0F98"/>
    <w:rsid w:val="00FF1319"/>
    <w:rsid w:val="00FF2C70"/>
    <w:rsid w:val="00FF32AD"/>
    <w:rsid w:val="00FF3E72"/>
    <w:rsid w:val="00FF40C5"/>
    <w:rsid w:val="00FF4F03"/>
    <w:rsid w:val="00FF5134"/>
    <w:rsid w:val="00FF5840"/>
    <w:rsid w:val="00FF66D5"/>
    <w:rsid w:val="00FF6B00"/>
    <w:rsid w:val="023D31C1"/>
    <w:rsid w:val="035E700F"/>
    <w:rsid w:val="043F0BEF"/>
    <w:rsid w:val="044F0706"/>
    <w:rsid w:val="0A802CC4"/>
    <w:rsid w:val="0C2B02B3"/>
    <w:rsid w:val="0CE54304"/>
    <w:rsid w:val="0D1C7D1F"/>
    <w:rsid w:val="0FC03CC5"/>
    <w:rsid w:val="12E4705C"/>
    <w:rsid w:val="13275603"/>
    <w:rsid w:val="16766D2B"/>
    <w:rsid w:val="17460831"/>
    <w:rsid w:val="17571954"/>
    <w:rsid w:val="17A27073"/>
    <w:rsid w:val="17A74DC5"/>
    <w:rsid w:val="1821423F"/>
    <w:rsid w:val="18664544"/>
    <w:rsid w:val="19447A2A"/>
    <w:rsid w:val="1A150F96"/>
    <w:rsid w:val="1B8F790E"/>
    <w:rsid w:val="1D631052"/>
    <w:rsid w:val="1DE2466D"/>
    <w:rsid w:val="22D12F02"/>
    <w:rsid w:val="23A40992"/>
    <w:rsid w:val="245139E7"/>
    <w:rsid w:val="25B56D60"/>
    <w:rsid w:val="25D7082F"/>
    <w:rsid w:val="277327DA"/>
    <w:rsid w:val="27D12038"/>
    <w:rsid w:val="291C3D7C"/>
    <w:rsid w:val="2AB90504"/>
    <w:rsid w:val="31857FD8"/>
    <w:rsid w:val="31A05A67"/>
    <w:rsid w:val="31F43D52"/>
    <w:rsid w:val="34662ACF"/>
    <w:rsid w:val="34CA25C5"/>
    <w:rsid w:val="39077C38"/>
    <w:rsid w:val="39B0377C"/>
    <w:rsid w:val="3A3C555F"/>
    <w:rsid w:val="3A721FC1"/>
    <w:rsid w:val="3C7B06AE"/>
    <w:rsid w:val="3CA77F07"/>
    <w:rsid w:val="3D0A5FAF"/>
    <w:rsid w:val="409163A5"/>
    <w:rsid w:val="4142467E"/>
    <w:rsid w:val="441B3B85"/>
    <w:rsid w:val="453729CE"/>
    <w:rsid w:val="472206E9"/>
    <w:rsid w:val="48D50569"/>
    <w:rsid w:val="496A198C"/>
    <w:rsid w:val="49821833"/>
    <w:rsid w:val="4C1E06B7"/>
    <w:rsid w:val="4E5111F0"/>
    <w:rsid w:val="4F293E28"/>
    <w:rsid w:val="51DE0653"/>
    <w:rsid w:val="52770D77"/>
    <w:rsid w:val="52DB10B0"/>
    <w:rsid w:val="544555FD"/>
    <w:rsid w:val="55C302C1"/>
    <w:rsid w:val="56EE6ECE"/>
    <w:rsid w:val="57A602F7"/>
    <w:rsid w:val="58893338"/>
    <w:rsid w:val="599D7470"/>
    <w:rsid w:val="59BB72AA"/>
    <w:rsid w:val="5A512322"/>
    <w:rsid w:val="5B185E24"/>
    <w:rsid w:val="5B9B13DC"/>
    <w:rsid w:val="5C752BD4"/>
    <w:rsid w:val="5EDF7832"/>
    <w:rsid w:val="5F122193"/>
    <w:rsid w:val="5F9D32AC"/>
    <w:rsid w:val="5FC23A00"/>
    <w:rsid w:val="609E371C"/>
    <w:rsid w:val="61BE6511"/>
    <w:rsid w:val="64171911"/>
    <w:rsid w:val="64B67287"/>
    <w:rsid w:val="66372212"/>
    <w:rsid w:val="6AE17E57"/>
    <w:rsid w:val="6BA0659B"/>
    <w:rsid w:val="6C022DB1"/>
    <w:rsid w:val="6DE36C13"/>
    <w:rsid w:val="6E6B7334"/>
    <w:rsid w:val="6F192665"/>
    <w:rsid w:val="703D7CA1"/>
    <w:rsid w:val="71EE15BC"/>
    <w:rsid w:val="73661E78"/>
    <w:rsid w:val="7583066B"/>
    <w:rsid w:val="77FD321D"/>
    <w:rsid w:val="78BD36C3"/>
    <w:rsid w:val="78D12489"/>
    <w:rsid w:val="79A96B72"/>
    <w:rsid w:val="7A1B0260"/>
    <w:rsid w:val="7A5C5D83"/>
    <w:rsid w:val="7B214537"/>
    <w:rsid w:val="7BA479E1"/>
    <w:rsid w:val="7C5331B5"/>
    <w:rsid w:val="7CBE3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仿宋_GB2312"/>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仿宋_GB2312"/>
      <w:color w:val="000000" w:themeColor="text1"/>
      <w:kern w:val="2"/>
      <w:sz w:val="32"/>
      <w:szCs w:val="32"/>
      <w:lang w:val="en-US" w:eastAsia="zh-CN" w:bidi="ar-SA"/>
      <w14:textFill>
        <w14:solidFill>
          <w14:schemeClr w14:val="tx1"/>
        </w14:solidFill>
      </w14:textFill>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32"/>
    <w:semiHidden/>
    <w:unhideWhenUsed/>
    <w:qFormat/>
    <w:uiPriority w:val="99"/>
    <w:pPr>
      <w:jc w:val="left"/>
    </w:pPr>
  </w:style>
  <w:style w:type="paragraph" w:styleId="4">
    <w:name w:val="Body Text Indent"/>
    <w:basedOn w:val="1"/>
    <w:next w:val="5"/>
    <w:qFormat/>
    <w:uiPriority w:val="0"/>
    <w:pPr>
      <w:spacing w:after="120"/>
      <w:ind w:left="420" w:leftChars="200"/>
      <w:jc w:val="left"/>
    </w:pPr>
  </w:style>
  <w:style w:type="paragraph" w:styleId="5">
    <w:name w:val="Body Text First Indent 2"/>
    <w:basedOn w:val="4"/>
    <w:next w:val="1"/>
    <w:qFormat/>
    <w:uiPriority w:val="0"/>
    <w:pPr>
      <w:ind w:firstLine="420"/>
    </w:pPr>
  </w:style>
  <w:style w:type="paragraph" w:styleId="6">
    <w:name w:val="toc 3"/>
    <w:basedOn w:val="1"/>
    <w:next w:val="1"/>
    <w:unhideWhenUsed/>
    <w:qFormat/>
    <w:uiPriority w:val="39"/>
    <w:pPr>
      <w:widowControl/>
      <w:spacing w:after="100" w:line="259" w:lineRule="auto"/>
      <w:ind w:left="440"/>
      <w:jc w:val="left"/>
    </w:pPr>
    <w:rPr>
      <w:rFonts w:cs="Times New Roman"/>
      <w:kern w:val="0"/>
      <w:sz w:val="22"/>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cs="Times New Roman"/>
      <w:kern w:val="0"/>
      <w:sz w:val="22"/>
    </w:rPr>
  </w:style>
  <w:style w:type="paragraph" w:styleId="10">
    <w:name w:val="toc 2"/>
    <w:basedOn w:val="1"/>
    <w:next w:val="1"/>
    <w:unhideWhenUsed/>
    <w:qFormat/>
    <w:uiPriority w:val="39"/>
    <w:pPr>
      <w:widowControl/>
      <w:tabs>
        <w:tab w:val="right" w:leader="dot" w:pos="8154"/>
      </w:tabs>
      <w:spacing w:after="100"/>
      <w:ind w:left="221"/>
      <w:jc w:val="left"/>
    </w:pPr>
    <w:rPr>
      <w:rFonts w:cs="Times New Roman"/>
      <w:kern w:val="0"/>
      <w:sz w:val="22"/>
    </w:rPr>
  </w:style>
  <w:style w:type="paragraph" w:styleId="11">
    <w:name w:val="annotation subject"/>
    <w:basedOn w:val="3"/>
    <w:next w:val="3"/>
    <w:link w:val="33"/>
    <w:semiHidden/>
    <w:unhideWhenUsed/>
    <w:qFormat/>
    <w:uiPriority w:val="99"/>
    <w:rPr>
      <w:b/>
      <w:bCs/>
    </w:r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customStyle="1" w:styleId="18">
    <w:name w:val="列表段落1"/>
    <w:basedOn w:val="1"/>
    <w:qFormat/>
    <w:uiPriority w:val="34"/>
    <w:pPr>
      <w:ind w:firstLine="420" w:firstLineChars="200"/>
    </w:pPr>
  </w:style>
  <w:style w:type="table" w:customStyle="1" w:styleId="19">
    <w:name w:val="清单表 6 彩色 - 着色 41"/>
    <w:basedOn w:val="12"/>
    <w:qFormat/>
    <w:uiPriority w:val="51"/>
    <w:rPr>
      <w:rFonts w:eastAsia="宋体" w:cs="Times New Roman"/>
      <w:color w:val="604A7B" w:themeColor="accent4" w:themeShade="BF"/>
    </w:rPr>
    <w:tblPr>
      <w:tblBorders>
        <w:top w:val="single" w:color="8064A2" w:themeColor="accent4" w:sz="4" w:space="0"/>
        <w:bottom w:val="single" w:color="8064A2" w:themeColor="accent4" w:sz="4" w:space="0"/>
      </w:tblBorders>
    </w:tblPr>
    <w:tblStylePr w:type="firstRow">
      <w:rPr>
        <w:b/>
        <w:bCs/>
      </w:rPr>
      <w:tcPr>
        <w:tcBorders>
          <w:bottom w:val="single" w:color="8064A2" w:themeColor="accent4" w:sz="4" w:space="0"/>
        </w:tcBorders>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table" w:customStyle="1" w:styleId="20">
    <w:name w:val="清单表 6 彩色 - 着色 51"/>
    <w:basedOn w:val="12"/>
    <w:qFormat/>
    <w:uiPriority w:val="51"/>
    <w:rPr>
      <w:color w:val="31859C" w:themeColor="accent5" w:themeShade="BF"/>
    </w:rPr>
    <w:tblPr>
      <w:tblBorders>
        <w:top w:val="single" w:color="4BACC6" w:themeColor="accent5" w:sz="4" w:space="0"/>
        <w:bottom w:val="single" w:color="4BACC6" w:themeColor="accent5" w:sz="4" w:space="0"/>
      </w:tblBorders>
    </w:tblPr>
    <w:tblStylePr w:type="firstRow">
      <w:rPr>
        <w:b/>
        <w:bCs/>
      </w:rPr>
      <w:tcPr>
        <w:tcBorders>
          <w:bottom w:val="single" w:color="4BACC6" w:themeColor="accent5" w:sz="4" w:space="0"/>
        </w:tcBorders>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21">
    <w:name w:val="清单表 6 彩色 - 着色 31"/>
    <w:basedOn w:val="12"/>
    <w:qFormat/>
    <w:uiPriority w:val="51"/>
    <w:rPr>
      <w:color w:val="77933C" w:themeColor="accent3" w:themeShade="BF"/>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22">
    <w:name w:val="清单表 6 彩色 - 着色 21"/>
    <w:basedOn w:val="12"/>
    <w:qFormat/>
    <w:uiPriority w:val="51"/>
    <w:rPr>
      <w:color w:val="953735" w:themeColor="accent2" w:themeShade="BF"/>
    </w:rPr>
    <w:tblPr>
      <w:tblBorders>
        <w:top w:val="single" w:color="C0504D" w:themeColor="accent2" w:sz="4" w:space="0"/>
        <w:bottom w:val="single" w:color="C0504D" w:themeColor="accent2" w:sz="4" w:space="0"/>
      </w:tblBorders>
    </w:tblPr>
    <w:tblStylePr w:type="firstRow">
      <w:rPr>
        <w:b/>
        <w:bCs/>
      </w:rPr>
      <w:tcPr>
        <w:tcBorders>
          <w:bottom w:val="single" w:color="C0504D" w:themeColor="accent2" w:sz="4" w:space="0"/>
        </w:tcBorders>
      </w:tcPr>
    </w:tblStylePr>
    <w:tblStylePr w:type="lastRow">
      <w:rPr>
        <w:b/>
        <w:bCs/>
      </w:rPr>
      <w:tcPr>
        <w:tcBorders>
          <w:top w:val="double" w:color="C0504D" w:themeColor="accent2" w:sz="4" w:space="0"/>
        </w:tcBorders>
      </w:tcPr>
    </w:tblStylePr>
    <w:tblStylePr w:type="firstCol">
      <w:rPr>
        <w:b/>
        <w:bCs/>
      </w:rPr>
    </w:tblStylePr>
    <w:tblStylePr w:type="lastCol">
      <w:rPr>
        <w:b/>
        <w:bCs/>
      </w:rPr>
    </w:tblStylePr>
    <w:tblStylePr w:type="band1Vert">
      <w:tcPr>
        <w:shd w:val="clear" w:color="auto" w:fill="F2DBDB" w:themeFill="accent2" w:themeFillTint="33"/>
      </w:tcPr>
    </w:tblStylePr>
    <w:tblStylePr w:type="band1Horz">
      <w:tcPr>
        <w:shd w:val="clear" w:color="auto" w:fill="F2DBDB" w:themeFill="accent2" w:themeFillTint="33"/>
      </w:tcPr>
    </w:tblStylePr>
  </w:style>
  <w:style w:type="table" w:customStyle="1" w:styleId="23">
    <w:name w:val="清单表 6 彩色1"/>
    <w:basedOn w:val="12"/>
    <w:qFormat/>
    <w:uiPriority w:val="51"/>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4">
    <w:name w:val="网格表 3 - 着色 41"/>
    <w:basedOn w:val="12"/>
    <w:qFormat/>
    <w:uiPriority w:val="48"/>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DFEC" w:themeFill="accent4" w:themeFillTint="33"/>
      </w:tcPr>
    </w:tblStylePr>
    <w:tblStylePr w:type="band1Horz">
      <w:tcPr>
        <w:shd w:val="clear" w:color="auto" w:fill="E5DFEC" w:themeFill="accent4" w:themeFillTint="33"/>
      </w:tcPr>
    </w:tblStylePr>
    <w:tblStylePr w:type="neCell">
      <w:tcPr>
        <w:tcBorders>
          <w:bottom w:val="single" w:color="B2A1C7" w:themeColor="accent4" w:themeTint="99" w:sz="4" w:space="0"/>
        </w:tcBorders>
      </w:tcPr>
    </w:tblStylePr>
    <w:tblStylePr w:type="nwCell">
      <w:tcPr>
        <w:tcBorders>
          <w:bottom w:val="single" w:color="B2A1C7" w:themeColor="accent4" w:themeTint="99" w:sz="4" w:space="0"/>
        </w:tcBorders>
      </w:tcPr>
    </w:tblStylePr>
    <w:tblStylePr w:type="seCell">
      <w:tcPr>
        <w:tcBorders>
          <w:top w:val="single" w:color="B2A1C7" w:themeColor="accent4" w:themeTint="99" w:sz="4" w:space="0"/>
        </w:tcBorders>
      </w:tcPr>
    </w:tblStylePr>
    <w:tblStylePr w:type="swCell">
      <w:tcPr>
        <w:tcBorders>
          <w:top w:val="single" w:color="B2A1C7" w:themeColor="accent4" w:themeTint="99" w:sz="4" w:space="0"/>
        </w:tcBorders>
      </w:tcPr>
    </w:tblStylePr>
  </w:style>
  <w:style w:type="character" w:customStyle="1" w:styleId="25">
    <w:name w:val="占位符文本1"/>
    <w:basedOn w:val="13"/>
    <w:unhideWhenUsed/>
    <w:qFormat/>
    <w:uiPriority w:val="99"/>
    <w:rPr>
      <w:color w:val="808080"/>
    </w:rPr>
  </w:style>
  <w:style w:type="character" w:customStyle="1" w:styleId="26">
    <w:name w:val="标题 1 字符"/>
    <w:basedOn w:val="13"/>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28">
    <w:name w:val="标题1"/>
    <w:basedOn w:val="1"/>
    <w:link w:val="29"/>
    <w:qFormat/>
    <w:uiPriority w:val="0"/>
    <w:pPr>
      <w:spacing w:line="660" w:lineRule="atLeast"/>
      <w:ind w:firstLine="640" w:firstLineChars="200"/>
    </w:pPr>
    <w:rPr>
      <w:rFonts w:ascii="黑体" w:hAnsi="黑体" w:eastAsia="黑体" w:cs="黑体"/>
    </w:rPr>
  </w:style>
  <w:style w:type="character" w:customStyle="1" w:styleId="29">
    <w:name w:val="标题1 字符"/>
    <w:basedOn w:val="13"/>
    <w:link w:val="28"/>
    <w:qFormat/>
    <w:uiPriority w:val="0"/>
    <w:rPr>
      <w:rFonts w:ascii="黑体" w:hAnsi="黑体" w:eastAsia="黑体" w:cs="黑体"/>
      <w:kern w:val="2"/>
      <w:sz w:val="32"/>
      <w:szCs w:val="32"/>
    </w:rPr>
  </w:style>
  <w:style w:type="paragraph" w:customStyle="1" w:styleId="30">
    <w:name w:val="标题2"/>
    <w:basedOn w:val="1"/>
    <w:link w:val="31"/>
    <w:qFormat/>
    <w:uiPriority w:val="0"/>
    <w:pPr>
      <w:spacing w:line="660" w:lineRule="atLeast"/>
      <w:ind w:firstLine="640" w:firstLineChars="200"/>
    </w:pPr>
    <w:rPr>
      <w:rFonts w:ascii="楷体_GB2312" w:hAnsi="楷体_GB2312" w:eastAsia="楷体_GB2312" w:cs="楷体_GB2312"/>
      <w:b/>
      <w:bCs/>
      <w:color w:val="auto"/>
    </w:rPr>
  </w:style>
  <w:style w:type="character" w:customStyle="1" w:styleId="31">
    <w:name w:val="标题2 字符"/>
    <w:basedOn w:val="13"/>
    <w:link w:val="30"/>
    <w:qFormat/>
    <w:uiPriority w:val="0"/>
    <w:rPr>
      <w:rFonts w:ascii="楷体_GB2312" w:hAnsi="楷体_GB2312" w:eastAsia="楷体_GB2312" w:cs="楷体_GB2312"/>
      <w:b/>
      <w:bCs/>
      <w:color w:val="auto"/>
    </w:rPr>
  </w:style>
  <w:style w:type="character" w:customStyle="1" w:styleId="32">
    <w:name w:val="批注文字 字符"/>
    <w:basedOn w:val="13"/>
    <w:link w:val="3"/>
    <w:semiHidden/>
    <w:qFormat/>
    <w:uiPriority w:val="99"/>
    <w:rPr>
      <w:color w:val="000000" w:themeColor="text1"/>
      <w:kern w:val="2"/>
      <w:sz w:val="32"/>
      <w:szCs w:val="32"/>
      <w14:textFill>
        <w14:solidFill>
          <w14:schemeClr w14:val="tx1"/>
        </w14:solidFill>
      </w14:textFill>
    </w:rPr>
  </w:style>
  <w:style w:type="character" w:customStyle="1" w:styleId="33">
    <w:name w:val="批注主题 字符"/>
    <w:basedOn w:val="32"/>
    <w:link w:val="11"/>
    <w:semiHidden/>
    <w:qFormat/>
    <w:uiPriority w:val="99"/>
    <w:rPr>
      <w:b/>
      <w:bCs/>
      <w:color w:val="000000" w:themeColor="text1"/>
      <w:kern w:val="2"/>
      <w:sz w:val="32"/>
      <w:szCs w:val="32"/>
      <w14:textFill>
        <w14:solidFill>
          <w14:schemeClr w14:val="tx1"/>
        </w14:solidFill>
      </w14:textFill>
    </w:rPr>
  </w:style>
  <w:style w:type="paragraph" w:customStyle="1" w:styleId="34">
    <w:name w:val="修订1"/>
    <w:hidden/>
    <w:unhideWhenUsed/>
    <w:qFormat/>
    <w:uiPriority w:val="99"/>
    <w:rPr>
      <w:rFonts w:ascii="Times New Roman" w:hAnsi="Times New Roman" w:eastAsia="仿宋_GB2312" w:cs="仿宋_GB2312"/>
      <w:color w:val="000000" w:themeColor="text1"/>
      <w:kern w:val="2"/>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581BE-B19A-42FB-ADE3-59DC6C4FA557}">
  <ds:schemaRefs/>
</ds:datastoreItem>
</file>

<file path=docProps/app.xml><?xml version="1.0" encoding="utf-8"?>
<Properties xmlns="http://schemas.openxmlformats.org/officeDocument/2006/extended-properties" xmlns:vt="http://schemas.openxmlformats.org/officeDocument/2006/docPropsVTypes">
  <Template>Normal</Template>
  <Pages>44</Pages>
  <Words>3198</Words>
  <Characters>18231</Characters>
  <Lines>151</Lines>
  <Paragraphs>42</Paragraphs>
  <TotalTime>117</TotalTime>
  <ScaleCrop>false</ScaleCrop>
  <LinksUpToDate>false</LinksUpToDate>
  <CharactersWithSpaces>21387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2023-08-21T08:43:00Z</dcterms:created>
  <dc:creator>NINGMEI</dc:creator>
  <cp:lastModifiedBy>Poochie</cp:lastModifiedBy>
  <cp:lastPrinted>2024-04-07T07:59:00Z</cp:lastPrinted>
  <dcterms:modified xsi:type="dcterms:W3CDTF">2024-08-16T03:13:12Z</dcterms:modified>
  <cp:revision>1852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C28859A1B4AC403981DA6CA25006DEC3_12</vt:lpwstr>
  </property>
</Properties>
</file>