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2678" w:right="727" w:hanging="1983"/>
        <w:spacing w:before="140" w:line="24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9"/>
        </w:rPr>
        <w:t>海口市秀英区促进楼宇经济高质量发展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6"/>
        </w:rPr>
        <w:t>扶持政策（试行）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3911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第一章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总则</w:t>
      </w:r>
    </w:p>
    <w:p>
      <w:pPr>
        <w:ind w:left="649"/>
        <w:spacing w:before="158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第一条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指导思想</w:t>
      </w:r>
    </w:p>
    <w:p>
      <w:pPr>
        <w:pStyle w:val="BodyText"/>
        <w:ind w:left="14" w:right="43" w:firstLine="644"/>
        <w:spacing w:before="159" w:line="315" w:lineRule="auto"/>
        <w:rPr/>
      </w:pPr>
      <w:r>
        <w:rPr>
          <w:spacing w:val="4"/>
        </w:rPr>
        <w:t>为深入贯彻落实《海南自由贸易港建设总体方案》相关工作</w:t>
      </w:r>
      <w:r>
        <w:rPr>
          <w:spacing w:val="18"/>
        </w:rPr>
        <w:t xml:space="preserve"> </w:t>
      </w:r>
      <w:r>
        <w:rPr>
          <w:spacing w:val="5"/>
        </w:rPr>
        <w:t>要求，加快构建“一区三圈四园”产业发展新格局，发挥商务楼</w:t>
      </w:r>
      <w:r>
        <w:rPr>
          <w:spacing w:val="6"/>
        </w:rPr>
        <w:t xml:space="preserve"> </w:t>
      </w:r>
      <w:r>
        <w:rPr>
          <w:spacing w:val="17"/>
        </w:rPr>
        <w:t>宇安商引商的引擎作用，提升楼宇形象功能品质和综合</w:t>
      </w:r>
      <w:r>
        <w:rPr>
          <w:spacing w:val="16"/>
        </w:rPr>
        <w:t>产出效</w:t>
      </w:r>
      <w:r>
        <w:rPr/>
        <w:t xml:space="preserve"> </w:t>
      </w:r>
      <w:r>
        <w:rPr>
          <w:spacing w:val="5"/>
        </w:rPr>
        <w:t>益，提高区域楼宇经济综合实力和竞争力，根据自贸港建设相关</w:t>
      </w:r>
      <w:r>
        <w:rPr>
          <w:spacing w:val="6"/>
        </w:rPr>
        <w:t xml:space="preserve"> </w:t>
      </w:r>
      <w:r>
        <w:rPr>
          <w:spacing w:val="8"/>
        </w:rPr>
        <w:t>政策，结合全区楼宇经济发展实际，特制定本政策。</w:t>
      </w:r>
    </w:p>
    <w:p>
      <w:pPr>
        <w:ind w:left="649"/>
        <w:spacing w:before="5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第二条</w:t>
      </w:r>
      <w:r>
        <w:rPr>
          <w:rFonts w:ascii="SimHei" w:hAnsi="SimHei" w:eastAsia="SimHei" w:cs="SimHei"/>
          <w:sz w:val="31"/>
          <w:szCs w:val="31"/>
          <w:spacing w:val="2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总体要求</w:t>
      </w:r>
    </w:p>
    <w:p>
      <w:pPr>
        <w:pStyle w:val="BodyText"/>
        <w:ind w:left="17" w:firstLine="675"/>
        <w:spacing w:before="162" w:line="313" w:lineRule="auto"/>
        <w:jc w:val="both"/>
        <w:rPr/>
      </w:pPr>
      <w:r>
        <w:rPr>
          <w:spacing w:val="3"/>
        </w:rPr>
        <w:t>以推动实现楼宇经济发展的管理机制化、服务标准化、信息</w:t>
      </w:r>
      <w:r>
        <w:rPr>
          <w:spacing w:val="7"/>
        </w:rPr>
        <w:t xml:space="preserve"> </w:t>
      </w:r>
      <w:r>
        <w:rPr>
          <w:spacing w:val="5"/>
        </w:rPr>
        <w:t>数智化、产业集群化为理念，实施楼宇经济梯度培育工程，培育</w:t>
      </w:r>
      <w:r>
        <w:rPr>
          <w:spacing w:val="1"/>
        </w:rPr>
        <w:t xml:space="preserve"> </w:t>
      </w:r>
      <w:r>
        <w:rPr>
          <w:spacing w:val="5"/>
        </w:rPr>
        <w:t>一批特色产业楼宇，打造一批总部经济专业楼宇，促进非亿元楼</w:t>
      </w:r>
      <w:r>
        <w:rPr>
          <w:spacing w:val="4"/>
        </w:rPr>
        <w:t xml:space="preserve"> </w:t>
      </w:r>
      <w:r>
        <w:rPr>
          <w:spacing w:val="7"/>
        </w:rPr>
        <w:t>宇跨能级发展，增强秀英区经济发展韧性、</w:t>
      </w:r>
      <w:r>
        <w:rPr>
          <w:spacing w:val="6"/>
        </w:rPr>
        <w:t>协调性和可持续性。</w:t>
      </w:r>
    </w:p>
    <w:p>
      <w:pPr>
        <w:ind w:left="649"/>
        <w:spacing w:before="5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第三条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适用范围与扶持对象</w:t>
      </w:r>
    </w:p>
    <w:p>
      <w:pPr>
        <w:pStyle w:val="BodyText"/>
        <w:ind w:right="43" w:firstLine="674"/>
        <w:spacing w:before="155" w:line="305" w:lineRule="auto"/>
        <w:rPr/>
      </w:pPr>
      <w:r>
        <w:rPr>
          <w:rFonts w:ascii="KaiTi" w:hAnsi="KaiTi" w:eastAsia="KaiTi" w:cs="KaiTi"/>
          <w:spacing w:val="16"/>
        </w:rPr>
        <w:t>（一）适用范围。</w:t>
      </w:r>
      <w:r>
        <w:rPr>
          <w:spacing w:val="16"/>
        </w:rPr>
        <w:t>地理位置处于秀英辖区内，建筑面积在</w:t>
      </w:r>
      <w:r>
        <w:rPr>
          <w:spacing w:val="16"/>
        </w:rPr>
        <w:t xml:space="preserve"> </w:t>
      </w:r>
      <w:r>
        <w:rPr>
          <w:spacing w:val="7"/>
        </w:rPr>
        <w:t>15000</w:t>
      </w:r>
      <w:r>
        <w:rPr>
          <w:spacing w:val="-49"/>
        </w:rPr>
        <w:t xml:space="preserve"> </w:t>
      </w:r>
      <w:r>
        <w:rPr>
          <w:spacing w:val="7"/>
        </w:rPr>
        <w:t>平方米（含）以上、且建筑规划用途为商业办公的写字楼</w:t>
      </w:r>
      <w:r>
        <w:rPr/>
        <w:t xml:space="preserve"> </w:t>
      </w:r>
      <w:r>
        <w:rPr>
          <w:spacing w:val="3"/>
        </w:rPr>
        <w:t>宇；建筑面积在</w:t>
      </w:r>
      <w:r>
        <w:rPr>
          <w:spacing w:val="-30"/>
        </w:rPr>
        <w:t xml:space="preserve"> </w:t>
      </w:r>
      <w:r>
        <w:rPr>
          <w:spacing w:val="3"/>
        </w:rPr>
        <w:t>10000</w:t>
      </w:r>
      <w:r>
        <w:rPr>
          <w:spacing w:val="-54"/>
        </w:rPr>
        <w:t xml:space="preserve"> </w:t>
      </w:r>
      <w:r>
        <w:rPr>
          <w:spacing w:val="3"/>
        </w:rPr>
        <w:t>平方米（含）以上的孵化器、产业园、科</w:t>
      </w:r>
      <w:r>
        <w:rPr/>
        <w:t xml:space="preserve"> </w:t>
      </w:r>
      <w:r>
        <w:rPr>
          <w:spacing w:val="6"/>
        </w:rPr>
        <w:t>研楼宇和总部楼宇；以及区重点扶持的其他楼宇</w:t>
      </w:r>
      <w:r>
        <w:rPr>
          <w:spacing w:val="5"/>
        </w:rPr>
        <w:t>。以上楼宇要求</w:t>
      </w:r>
      <w:r>
        <w:rPr/>
        <w:t xml:space="preserve"> </w:t>
      </w:r>
      <w:r>
        <w:rPr>
          <w:spacing w:val="6"/>
        </w:rPr>
        <w:t>具有完备物业管理服务和基础设施设备，且建筑</w:t>
      </w:r>
      <w:r>
        <w:rPr>
          <w:spacing w:val="5"/>
        </w:rPr>
        <w:t>面积均不含楼宇</w:t>
      </w:r>
      <w:r>
        <w:rPr/>
        <w:t xml:space="preserve"> </w:t>
      </w:r>
      <w:r>
        <w:rPr>
          <w:spacing w:val="9"/>
        </w:rPr>
        <w:t>配套设施用房面积，不包括行政、事业单位自建自用楼宇。</w:t>
      </w:r>
    </w:p>
    <w:p>
      <w:pPr>
        <w:pStyle w:val="BodyText"/>
        <w:ind w:right="43"/>
        <w:spacing w:before="171" w:line="228" w:lineRule="auto"/>
        <w:jc w:val="right"/>
        <w:rPr/>
      </w:pPr>
      <w:r>
        <w:rPr>
          <w:rFonts w:ascii="KaiTi" w:hAnsi="KaiTi" w:eastAsia="KaiTi" w:cs="KaiTi"/>
          <w:spacing w:val="4"/>
        </w:rPr>
        <w:t>（二）扶持对象。</w:t>
      </w:r>
      <w:r>
        <w:rPr>
          <w:spacing w:val="4"/>
        </w:rPr>
        <w:t>主要为现代金融业、高端会展业和现代物</w:t>
      </w:r>
    </w:p>
    <w:p>
      <w:pPr>
        <w:spacing w:line="228" w:lineRule="auto"/>
        <w:sectPr>
          <w:footerReference w:type="default" r:id="rId1"/>
          <w:pgSz w:w="11907" w:h="16840"/>
          <w:pgMar w:top="1431" w:right="1430" w:bottom="1844" w:left="1590" w:header="0" w:footer="1580" w:gutter="0"/>
        </w:sectPr>
        <w:rPr/>
      </w:pP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firstLine="3"/>
        <w:spacing w:before="101" w:line="317" w:lineRule="auto"/>
        <w:jc w:val="both"/>
        <w:rPr/>
      </w:pPr>
      <w:r>
        <w:rPr>
          <w:spacing w:val="5"/>
        </w:rPr>
        <w:t>流业等现代服务业、数字经济为代表的高新技术产业、符合自贸</w:t>
      </w:r>
      <w:r>
        <w:rPr>
          <w:spacing w:val="11"/>
        </w:rPr>
        <w:t xml:space="preserve"> </w:t>
      </w:r>
      <w:r>
        <w:rPr>
          <w:spacing w:val="5"/>
        </w:rPr>
        <w:t>港鼓励类产业方向或秀英区产业发展导向、切合秀英区经济发展</w:t>
      </w:r>
      <w:r>
        <w:rPr>
          <w:spacing w:val="15"/>
        </w:rPr>
        <w:t xml:space="preserve"> </w:t>
      </w:r>
      <w:r>
        <w:rPr>
          <w:spacing w:val="5"/>
        </w:rPr>
        <w:t>需求的，具有独立法人资格、财务独立核算、工商注册、税务登</w:t>
      </w:r>
      <w:r>
        <w:rPr>
          <w:spacing w:val="15"/>
        </w:rPr>
        <w:t xml:space="preserve"> </w:t>
      </w:r>
      <w:r>
        <w:rPr>
          <w:spacing w:val="5"/>
        </w:rPr>
        <w:t>记和统计关系均在秀英区，且入驻区内商务楼宇的企业（不含房</w:t>
      </w:r>
      <w:r>
        <w:rPr>
          <w:spacing w:val="15"/>
        </w:rPr>
        <w:t xml:space="preserve"> </w:t>
      </w:r>
      <w:r>
        <w:rPr>
          <w:spacing w:val="10"/>
        </w:rPr>
        <w:t>地产企业</w:t>
      </w:r>
      <w:r>
        <w:rPr>
          <w:spacing w:val="-53"/>
        </w:rPr>
        <w:t>）；</w:t>
      </w:r>
      <w:r>
        <w:rPr>
          <w:spacing w:val="10"/>
        </w:rPr>
        <w:t>具有独立法人资格、财务独立核算、工商注册、税</w:t>
      </w:r>
      <w:r>
        <w:rPr>
          <w:spacing w:val="1"/>
        </w:rPr>
        <w:t xml:space="preserve"> </w:t>
      </w:r>
      <w:r>
        <w:rPr>
          <w:spacing w:val="5"/>
        </w:rPr>
        <w:t>务登记和统计关系均在秀英区的楼宇开发企业、楼宇业主、楼宇</w:t>
      </w:r>
      <w:r>
        <w:rPr>
          <w:spacing w:val="12"/>
        </w:rPr>
        <w:t xml:space="preserve"> </w:t>
      </w:r>
      <w:r>
        <w:rPr>
          <w:spacing w:val="9"/>
        </w:rPr>
        <w:t>运营企业、物业管理企业等参与楼宇经济建设的市场主体。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43" w:right="2582" w:firstLine="2582"/>
        <w:spacing w:before="100" w:line="30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第二章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党政服务支持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第四条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支持楼宇完善党建服务</w:t>
      </w:r>
    </w:p>
    <w:p>
      <w:pPr>
        <w:pStyle w:val="BodyText"/>
        <w:ind w:left="2" w:firstLine="633"/>
        <w:spacing w:before="47" w:line="314" w:lineRule="auto"/>
        <w:jc w:val="both"/>
        <w:rPr/>
      </w:pPr>
      <w:r>
        <w:rPr>
          <w:spacing w:val="18"/>
        </w:rPr>
        <w:t>创新实施楼宇楼长制，选优配强高层次人才服务联络员队</w:t>
      </w:r>
      <w:r>
        <w:rPr/>
        <w:t xml:space="preserve"> </w:t>
      </w:r>
      <w:r>
        <w:rPr>
          <w:spacing w:val="5"/>
        </w:rPr>
        <w:t>伍，支持培育党建引领楼宇招商、物业管理、驻楼企业、员工发</w:t>
      </w:r>
      <w:r>
        <w:rPr>
          <w:spacing w:val="12"/>
        </w:rPr>
        <w:t xml:space="preserve"> </w:t>
      </w:r>
      <w:r>
        <w:rPr>
          <w:spacing w:val="5"/>
        </w:rPr>
        <w:t>展等服务工作，支持开展政策咨询、税务辅导、信息服务、业务</w:t>
      </w:r>
      <w:r>
        <w:rPr>
          <w:spacing w:val="12"/>
        </w:rPr>
        <w:t xml:space="preserve"> </w:t>
      </w:r>
      <w:r>
        <w:rPr>
          <w:spacing w:val="9"/>
        </w:rPr>
        <w:t>指导、普法宣传、知识产权、能力培训等助企活</w:t>
      </w:r>
      <w:r>
        <w:rPr>
          <w:spacing w:val="8"/>
        </w:rPr>
        <w:t>动。</w:t>
      </w:r>
    </w:p>
    <w:p>
      <w:pPr>
        <w:ind w:left="643"/>
        <w:spacing w:before="5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第五条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支持楼宇开展政务服务</w:t>
      </w:r>
    </w:p>
    <w:p>
      <w:pPr>
        <w:pStyle w:val="BodyText"/>
        <w:ind w:left="6" w:firstLine="662"/>
        <w:spacing w:before="159" w:line="271" w:lineRule="auto"/>
        <w:rPr/>
      </w:pPr>
      <w:r>
        <w:rPr>
          <w:rFonts w:ascii="KaiTi" w:hAnsi="KaiTi" w:eastAsia="KaiTi" w:cs="KaiTi"/>
          <w:spacing w:val="4"/>
        </w:rPr>
        <w:t>（一）设置楼宇政务服务点。</w:t>
      </w:r>
      <w:r>
        <w:rPr>
          <w:spacing w:val="4"/>
        </w:rPr>
        <w:t>派驻政务人员驻点受理政务事</w:t>
      </w:r>
      <w:r>
        <w:rPr>
          <w:spacing w:val="2"/>
        </w:rPr>
        <w:t xml:space="preserve"> </w:t>
      </w:r>
      <w:r>
        <w:rPr>
          <w:spacing w:val="8"/>
        </w:rPr>
        <w:t>项，联动引入第三方服务机构共同提供增值服务。</w:t>
      </w:r>
    </w:p>
    <w:p>
      <w:pPr>
        <w:pStyle w:val="BodyText"/>
        <w:ind w:left="1" w:firstLine="667"/>
        <w:spacing w:before="172" w:line="270" w:lineRule="auto"/>
        <w:rPr/>
      </w:pPr>
      <w:r>
        <w:rPr>
          <w:rFonts w:ascii="KaiTi" w:hAnsi="KaiTi" w:eastAsia="KaiTi" w:cs="KaiTi"/>
          <w:spacing w:val="4"/>
        </w:rPr>
        <w:t>（二）设置楼宇政务服务绿色专窗。</w:t>
      </w:r>
      <w:r>
        <w:rPr>
          <w:spacing w:val="4"/>
        </w:rPr>
        <w:t>为参与楼宇经济建设的</w:t>
      </w:r>
      <w:r>
        <w:rPr>
          <w:spacing w:val="2"/>
        </w:rPr>
        <w:t xml:space="preserve"> </w:t>
      </w:r>
      <w:r>
        <w:rPr>
          <w:spacing w:val="9"/>
        </w:rPr>
        <w:t>各市场主体提供特殊通道服务，专人予以全程代办。</w:t>
      </w:r>
    </w:p>
    <w:p>
      <w:pPr>
        <w:pStyle w:val="BodyText"/>
        <w:ind w:left="32" w:firstLine="636"/>
        <w:spacing w:before="172" w:line="271" w:lineRule="auto"/>
        <w:rPr/>
      </w:pPr>
      <w:r>
        <w:rPr>
          <w:rFonts w:ascii="KaiTi" w:hAnsi="KaiTi" w:eastAsia="KaiTi" w:cs="KaiTi"/>
          <w:spacing w:val="4"/>
        </w:rPr>
        <w:t>（三）设置线上绿色通道服务。</w:t>
      </w:r>
      <w:r>
        <w:rPr>
          <w:spacing w:val="4"/>
        </w:rPr>
        <w:t>注册专员一对一为楼宇招商</w:t>
      </w:r>
      <w:r>
        <w:rPr>
          <w:spacing w:val="2"/>
        </w:rPr>
        <w:t xml:space="preserve"> </w:t>
      </w:r>
      <w:r>
        <w:rPr>
          <w:spacing w:val="6"/>
        </w:rPr>
        <w:t>引资的企业提供注册登记指导。</w:t>
      </w:r>
    </w:p>
    <w:p>
      <w:pPr>
        <w:pStyle w:val="BodyText"/>
        <w:ind w:left="10" w:firstLine="658"/>
        <w:spacing w:before="171" w:line="270" w:lineRule="auto"/>
        <w:rPr/>
      </w:pPr>
      <w:r>
        <w:rPr>
          <w:rFonts w:ascii="KaiTi" w:hAnsi="KaiTi" w:eastAsia="KaiTi" w:cs="KaiTi"/>
          <w:spacing w:val="4"/>
        </w:rPr>
        <w:t>（四）提供专业化司法服务。</w:t>
      </w:r>
      <w:r>
        <w:rPr>
          <w:spacing w:val="4"/>
        </w:rPr>
        <w:t>在立案环节，涉及楼宇经济的</w:t>
      </w:r>
      <w:r>
        <w:rPr>
          <w:spacing w:val="2"/>
        </w:rPr>
        <w:t xml:space="preserve"> </w:t>
      </w:r>
      <w:r>
        <w:rPr>
          <w:spacing w:val="5"/>
        </w:rPr>
        <w:t>案件，依法及时立案；在审判环节，对事实清楚、权利义务关系</w:t>
      </w:r>
    </w:p>
    <w:p>
      <w:pPr>
        <w:spacing w:line="270" w:lineRule="auto"/>
        <w:sectPr>
          <w:footerReference w:type="default" r:id="rId2"/>
          <w:pgSz w:w="11907" w:h="16840"/>
          <w:pgMar w:top="1431" w:right="1474" w:bottom="1844" w:left="1596" w:header="0" w:footer="1582" w:gutter="0"/>
        </w:sectPr>
        <w:rPr/>
      </w:pP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17" w:right="108" w:firstLine="22"/>
        <w:spacing w:before="101" w:line="314" w:lineRule="auto"/>
        <w:jc w:val="both"/>
        <w:rPr/>
      </w:pPr>
      <w:r>
        <w:rPr>
          <w:spacing w:val="4"/>
        </w:rPr>
        <w:t>明确、争议不大的案件，适用简易程序，快审快结，减轻诉讼当</w:t>
      </w:r>
      <w:r>
        <w:rPr>
          <w:spacing w:val="10"/>
        </w:rPr>
        <w:t xml:space="preserve"> </w:t>
      </w:r>
      <w:r>
        <w:rPr>
          <w:spacing w:val="5"/>
        </w:rPr>
        <w:t>事人的诉累，降低楼宇企业的诉讼成本；在执行环节，成立专项</w:t>
      </w:r>
      <w:r>
        <w:rPr>
          <w:spacing w:val="5"/>
        </w:rPr>
        <w:t xml:space="preserve"> </w:t>
      </w:r>
      <w:r>
        <w:rPr>
          <w:spacing w:val="5"/>
        </w:rPr>
        <w:t>执行组，开展专项执行活动，快速执行涉楼宇企业的案件，缩短</w:t>
      </w:r>
      <w:r>
        <w:rPr>
          <w:spacing w:val="2"/>
        </w:rPr>
        <w:t xml:space="preserve"> </w:t>
      </w:r>
      <w:r>
        <w:rPr>
          <w:spacing w:val="3"/>
        </w:rPr>
        <w:t>执行时限。</w:t>
      </w:r>
    </w:p>
    <w:p>
      <w:pPr>
        <w:pStyle w:val="BodyText"/>
        <w:ind w:left="16" w:right="108" w:firstLine="659"/>
        <w:spacing w:before="53" w:line="312" w:lineRule="auto"/>
        <w:jc w:val="both"/>
        <w:rPr/>
      </w:pPr>
      <w:r>
        <w:rPr>
          <w:rFonts w:ascii="KaiTi" w:hAnsi="KaiTi" w:eastAsia="KaiTi" w:cs="KaiTi"/>
          <w:spacing w:val="4"/>
        </w:rPr>
        <w:t>（五）提供定制性与便捷性税务服务。</w:t>
      </w:r>
      <w:r>
        <w:rPr>
          <w:spacing w:val="4"/>
        </w:rPr>
        <w:t>加大涉税费个性化服</w:t>
      </w:r>
      <w:r>
        <w:rPr>
          <w:spacing w:val="2"/>
        </w:rPr>
        <w:t xml:space="preserve"> </w:t>
      </w:r>
      <w:r>
        <w:rPr>
          <w:spacing w:val="5"/>
        </w:rPr>
        <w:t>务力度，对一定规模以上的驻楼企业，由大企业税收管理服务专</w:t>
      </w:r>
      <w:r>
        <w:rPr>
          <w:spacing w:val="3"/>
        </w:rPr>
        <w:t xml:space="preserve"> </w:t>
      </w:r>
      <w:r>
        <w:rPr>
          <w:spacing w:val="3"/>
        </w:rPr>
        <w:t>班实施专人“</w:t>
      </w:r>
      <w:r>
        <w:rPr>
          <w:spacing w:val="-96"/>
        </w:rPr>
        <w:t xml:space="preserve"> </w:t>
      </w:r>
      <w:r>
        <w:rPr>
          <w:spacing w:val="3"/>
        </w:rPr>
        <w:t>点对点”服务；推动“办税微厅进楼宇”，统筹自</w:t>
      </w:r>
      <w:r>
        <w:rPr/>
        <w:t xml:space="preserve"> </w:t>
      </w:r>
      <w:r>
        <w:rPr>
          <w:spacing w:val="8"/>
        </w:rPr>
        <w:t>助办税设备投放入楼宇，提供快捷自助办税服务。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650" w:right="2690" w:firstLine="2582"/>
        <w:spacing w:before="101" w:line="30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第三章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发展要素支持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第六条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企业发展人才支持</w:t>
      </w:r>
    </w:p>
    <w:p>
      <w:pPr>
        <w:pStyle w:val="BodyText"/>
        <w:ind w:right="108" w:firstLine="676"/>
        <w:spacing w:before="49" w:line="288" w:lineRule="auto"/>
        <w:rPr/>
      </w:pPr>
      <w:r>
        <w:rPr>
          <w:rFonts w:ascii="KaiTi" w:hAnsi="KaiTi" w:eastAsia="KaiTi" w:cs="KaiTi"/>
          <w:spacing w:val="4"/>
        </w:rPr>
        <w:t>（一）优先服务保障企业用工。</w:t>
      </w:r>
      <w:r>
        <w:rPr>
          <w:spacing w:val="4"/>
        </w:rPr>
        <w:t>依托辖区内就业驿站，对有</w:t>
      </w:r>
      <w:r>
        <w:rPr/>
        <w:t xml:space="preserve"> </w:t>
      </w:r>
      <w:r>
        <w:rPr>
          <w:spacing w:val="6"/>
        </w:rPr>
        <w:t>用工缺口的企业，开展直播带岗，专场招聘会等多</w:t>
      </w:r>
      <w:r>
        <w:rPr>
          <w:spacing w:val="5"/>
        </w:rPr>
        <w:t>渠道发布岗位</w:t>
      </w:r>
      <w:r>
        <w:rPr/>
        <w:t xml:space="preserve"> </w:t>
      </w:r>
      <w:r>
        <w:rPr>
          <w:spacing w:val="9"/>
        </w:rPr>
        <w:t>信息，优先给予用工服务保障。</w:t>
      </w:r>
    </w:p>
    <w:p>
      <w:pPr>
        <w:pStyle w:val="BodyText"/>
        <w:ind w:left="8" w:firstLine="667"/>
        <w:spacing w:before="175" w:line="310" w:lineRule="auto"/>
        <w:rPr/>
      </w:pPr>
      <w:r>
        <w:rPr>
          <w:rFonts w:ascii="KaiTi" w:hAnsi="KaiTi" w:eastAsia="KaiTi" w:cs="KaiTi"/>
          <w:spacing w:val="4"/>
        </w:rPr>
        <w:t>（二）加大高管和高层次人才保障力度。</w:t>
      </w:r>
      <w:r>
        <w:rPr>
          <w:spacing w:val="4"/>
        </w:rPr>
        <w:t>经海口市认定的总</w:t>
      </w:r>
      <w:r>
        <w:rPr/>
        <w:t xml:space="preserve"> </w:t>
      </w:r>
      <w:r>
        <w:rPr>
          <w:spacing w:val="9"/>
        </w:rPr>
        <w:t>部企业，对不超过员工总人数的</w:t>
      </w:r>
      <w:r>
        <w:rPr>
          <w:spacing w:val="-33"/>
        </w:rPr>
        <w:t xml:space="preserve"> </w:t>
      </w:r>
      <w:r>
        <w:rPr>
          <w:spacing w:val="9"/>
        </w:rPr>
        <w:t>10%、且税后年薪不低于</w:t>
      </w:r>
      <w:r>
        <w:rPr>
          <w:spacing w:val="-37"/>
        </w:rPr>
        <w:t xml:space="preserve"> </w:t>
      </w:r>
      <w:r>
        <w:rPr>
          <w:spacing w:val="9"/>
        </w:rPr>
        <w:t>50</w:t>
      </w:r>
      <w:r>
        <w:rPr>
          <w:spacing w:val="-37"/>
        </w:rPr>
        <w:t xml:space="preserve"> </w:t>
      </w:r>
      <w:r>
        <w:rPr>
          <w:spacing w:val="9"/>
        </w:rPr>
        <w:t>万</w:t>
      </w:r>
      <w:r>
        <w:rPr/>
        <w:t xml:space="preserve"> </w:t>
      </w:r>
      <w:r>
        <w:rPr>
          <w:spacing w:val="7"/>
        </w:rPr>
        <w:t>元的总部企业高管（企业集团总部副总经理以上）和</w:t>
      </w:r>
      <w:r>
        <w:rPr>
          <w:spacing w:val="-43"/>
        </w:rPr>
        <w:t xml:space="preserve"> </w:t>
      </w:r>
      <w:r>
        <w:rPr>
          <w:spacing w:val="7"/>
        </w:rPr>
        <w:t>B</w:t>
      </w:r>
      <w:r>
        <w:rPr>
          <w:spacing w:val="-46"/>
        </w:rPr>
        <w:t xml:space="preserve"> </w:t>
      </w:r>
      <w:r>
        <w:rPr>
          <w:spacing w:val="7"/>
        </w:rPr>
        <w:t>类（含）</w:t>
      </w:r>
      <w:r>
        <w:rPr/>
        <w:t xml:space="preserve"> </w:t>
      </w:r>
      <w:r>
        <w:rPr>
          <w:spacing w:val="5"/>
        </w:rPr>
        <w:t>以上级别的海南省高层次人才，加大安居保障力度，开设租赁补</w:t>
      </w:r>
      <w:r>
        <w:rPr>
          <w:spacing w:val="11"/>
        </w:rPr>
        <w:t xml:space="preserve"> </w:t>
      </w:r>
      <w:r>
        <w:rPr>
          <w:spacing w:val="5"/>
        </w:rPr>
        <w:t>贴绿色通道，优先统筹申购安居房；完善人才子女入学政策，优</w:t>
      </w:r>
      <w:r>
        <w:rPr>
          <w:spacing w:val="14"/>
        </w:rPr>
        <w:t xml:space="preserve"> </w:t>
      </w:r>
      <w:r>
        <w:rPr>
          <w:spacing w:val="5"/>
        </w:rPr>
        <w:t>先统筹就近入读区属公办学校；强化人才医疗健康服务，主城区</w:t>
      </w:r>
      <w:r>
        <w:rPr>
          <w:spacing w:val="14"/>
        </w:rPr>
        <w:t xml:space="preserve"> </w:t>
      </w:r>
      <w:r>
        <w:rPr>
          <w:spacing w:val="5"/>
        </w:rPr>
        <w:t>区管公立医疗机构（长流中心卫生院、海秀卫生院、海港社区卫</w:t>
      </w:r>
      <w:r>
        <w:rPr>
          <w:spacing w:val="11"/>
        </w:rPr>
        <w:t xml:space="preserve"> </w:t>
      </w:r>
      <w:r>
        <w:rPr>
          <w:spacing w:val="13"/>
        </w:rPr>
        <w:t>生服务中心</w:t>
      </w:r>
      <w:r>
        <w:rPr>
          <w:rFonts w:ascii="Times New Roman" w:hAnsi="Times New Roman" w:eastAsia="Times New Roman" w:cs="Times New Roman"/>
          <w:spacing w:val="13"/>
        </w:rPr>
        <w:t>-</w:t>
      </w:r>
      <w:r>
        <w:rPr>
          <w:spacing w:val="13"/>
        </w:rPr>
        <w:t>市人民医院分院）开设绿色通道，优</w:t>
      </w:r>
      <w:r>
        <w:rPr>
          <w:spacing w:val="12"/>
        </w:rPr>
        <w:t>先安排就诊住</w:t>
      </w:r>
      <w:r>
        <w:rPr/>
        <w:t xml:space="preserve"> </w:t>
      </w:r>
      <w:r>
        <w:rPr>
          <w:spacing w:val="7"/>
        </w:rPr>
        <w:t>院等优质医疗服务。</w:t>
      </w:r>
    </w:p>
    <w:p>
      <w:pPr>
        <w:spacing w:line="310" w:lineRule="auto"/>
        <w:sectPr>
          <w:footerReference w:type="default" r:id="rId3"/>
          <w:pgSz w:w="11907" w:h="16840"/>
          <w:pgMar w:top="1431" w:right="1366" w:bottom="1844" w:left="1588" w:header="0" w:footer="1580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646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第七条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企业发展融资支持</w:t>
      </w:r>
    </w:p>
    <w:p>
      <w:pPr>
        <w:pStyle w:val="BodyText"/>
        <w:ind w:firstLine="653"/>
        <w:spacing w:before="158" w:line="315" w:lineRule="auto"/>
        <w:rPr/>
      </w:pPr>
      <w:r>
        <w:rPr>
          <w:spacing w:val="5"/>
        </w:rPr>
        <w:t>支持企业总部申报各类政府引导基金和产业基</w:t>
      </w:r>
      <w:r>
        <w:rPr>
          <w:spacing w:val="4"/>
        </w:rPr>
        <w:t>金，鼓励企业</w:t>
      </w:r>
      <w:r>
        <w:rPr/>
        <w:t xml:space="preserve"> </w:t>
      </w:r>
      <w:r>
        <w:rPr>
          <w:spacing w:val="5"/>
        </w:rPr>
        <w:t>总部与境内外知名股权投资基金管理公司合作；用好用活“金保</w:t>
      </w:r>
      <w:r>
        <w:rPr>
          <w:spacing w:val="15"/>
        </w:rPr>
        <w:t xml:space="preserve"> </w:t>
      </w:r>
      <w:r>
        <w:rPr>
          <w:spacing w:val="5"/>
        </w:rPr>
        <w:t>贷”产品，用于生产经营及汇率避险增信服务，为入驻楼宇中小</w:t>
      </w:r>
      <w:r>
        <w:rPr>
          <w:spacing w:val="17"/>
        </w:rPr>
        <w:t xml:space="preserve"> </w:t>
      </w:r>
      <w:r>
        <w:rPr>
          <w:spacing w:val="5"/>
        </w:rPr>
        <w:t>微企业、外贸企业提供融资支持；建立融资对接服务群，协调市</w:t>
      </w:r>
      <w:r>
        <w:rPr>
          <w:spacing w:val="17"/>
        </w:rPr>
        <w:t xml:space="preserve"> </w:t>
      </w:r>
      <w:r>
        <w:rPr>
          <w:spacing w:val="-2"/>
        </w:rPr>
        <w:t>担保机构、辖区金融机构匹配企业融资需求，提升贷款</w:t>
      </w:r>
      <w:r>
        <w:rPr>
          <w:spacing w:val="-3"/>
        </w:rPr>
        <w:t>发放效率。</w:t>
      </w:r>
    </w:p>
    <w:p>
      <w:pPr>
        <w:ind w:left="646"/>
        <w:spacing w:before="5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第八条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企业发展用地支持</w:t>
      </w:r>
    </w:p>
    <w:p>
      <w:pPr>
        <w:pStyle w:val="BodyText"/>
        <w:ind w:left="8" w:right="53" w:firstLine="645"/>
        <w:spacing w:before="161" w:line="316" w:lineRule="auto"/>
        <w:jc w:val="both"/>
        <w:rPr/>
      </w:pPr>
      <w:r>
        <w:rPr>
          <w:spacing w:val="4"/>
        </w:rPr>
        <w:t>经认定需要单独供地的企业总部，在不设定影响公平公正竞</w:t>
      </w:r>
      <w:r>
        <w:rPr>
          <w:spacing w:val="17"/>
        </w:rPr>
        <w:t xml:space="preserve"> </w:t>
      </w:r>
      <w:r>
        <w:rPr>
          <w:spacing w:val="5"/>
        </w:rPr>
        <w:t>争的限制性、排他性条件的前提下，可由区政府会商市级相关产</w:t>
      </w:r>
      <w:r>
        <w:rPr>
          <w:spacing w:val="10"/>
        </w:rPr>
        <w:t xml:space="preserve"> </w:t>
      </w:r>
      <w:r>
        <w:rPr>
          <w:spacing w:val="6"/>
        </w:rPr>
        <w:t>业部门提出产业准入条件，纳入资规部门编制的土地出让方案，</w:t>
      </w:r>
      <w:r>
        <w:rPr>
          <w:spacing w:val="18"/>
        </w:rPr>
        <w:t xml:space="preserve"> </w:t>
      </w:r>
      <w:r>
        <w:rPr>
          <w:spacing w:val="5"/>
        </w:rPr>
        <w:t>享受市级相关土地政策。资规部门协助配合市级相关部门将总部</w:t>
      </w:r>
      <w:r>
        <w:rPr>
          <w:spacing w:val="7"/>
        </w:rPr>
        <w:t xml:space="preserve"> </w:t>
      </w:r>
      <w:r>
        <w:rPr>
          <w:spacing w:val="17"/>
        </w:rPr>
        <w:t>企业办公用地、总部企业研发中心等用地纳入年度土地供</w:t>
      </w:r>
      <w:r>
        <w:rPr>
          <w:spacing w:val="16"/>
        </w:rPr>
        <w:t>应计</w:t>
      </w:r>
      <w:r>
        <w:rPr/>
        <w:t xml:space="preserve"> </w:t>
      </w:r>
      <w:r>
        <w:rPr>
          <w:spacing w:val="7"/>
        </w:rPr>
        <w:t>划，并依法予以优先保障。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46" w:right="2673" w:firstLine="2582"/>
        <w:spacing w:before="100" w:line="30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第四章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奖补政策支持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第九条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鼓励优化企业发展要素</w:t>
      </w:r>
    </w:p>
    <w:p>
      <w:pPr>
        <w:ind w:left="672"/>
        <w:spacing w:before="52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（一）支持入驻补贴</w:t>
      </w:r>
    </w:p>
    <w:p>
      <w:pPr>
        <w:pStyle w:val="BodyText"/>
        <w:ind w:left="637"/>
        <w:spacing w:before="252" w:line="189" w:lineRule="auto"/>
        <w:outlineLvl w:val="0"/>
        <w:rPr/>
      </w:pPr>
      <w:r>
        <w:rPr>
          <w:rFonts w:ascii="Microsoft YaHei" w:hAnsi="Microsoft YaHei" w:eastAsia="Microsoft YaHei" w:cs="Microsoft YaHei"/>
          <w:spacing w:val="7"/>
        </w:rPr>
        <w:t>1.入驻企业租金补贴。</w:t>
      </w:r>
      <w:r>
        <w:rPr>
          <w:spacing w:val="7"/>
        </w:rPr>
        <w:t>首次入驻我区商务楼宇，租赁办公面</w:t>
      </w:r>
    </w:p>
    <w:p>
      <w:pPr>
        <w:pStyle w:val="BodyText"/>
        <w:ind w:right="89" w:firstLine="8"/>
        <w:spacing w:before="125" w:line="313" w:lineRule="auto"/>
        <w:jc w:val="both"/>
        <w:rPr/>
      </w:pPr>
      <w:r>
        <w:rPr>
          <w:spacing w:val="3"/>
        </w:rPr>
        <w:t>积达到</w:t>
      </w:r>
      <w:r>
        <w:rPr>
          <w:spacing w:val="-38"/>
        </w:rPr>
        <w:t xml:space="preserve"> </w:t>
      </w:r>
      <w:r>
        <w:rPr>
          <w:spacing w:val="3"/>
        </w:rPr>
        <w:t>200</w:t>
      </w:r>
      <w:r>
        <w:rPr>
          <w:spacing w:val="-54"/>
        </w:rPr>
        <w:t xml:space="preserve"> </w:t>
      </w:r>
      <w:r>
        <w:rPr>
          <w:spacing w:val="3"/>
        </w:rPr>
        <w:t>平方米（含）以上，租期两年（含）以上并开展实质</w:t>
      </w:r>
      <w:r>
        <w:rPr/>
        <w:t xml:space="preserve"> </w:t>
      </w:r>
      <w:r>
        <w:rPr>
          <w:spacing w:val="-2"/>
        </w:rPr>
        <w:t>性经营的企业，给予</w:t>
      </w:r>
      <w:r>
        <w:rPr>
          <w:spacing w:val="-43"/>
        </w:rPr>
        <w:t xml:space="preserve"> </w:t>
      </w:r>
      <w:r>
        <w:rPr>
          <w:spacing w:val="-2"/>
        </w:rPr>
        <w:t>20</w:t>
      </w:r>
      <w:r>
        <w:rPr>
          <w:spacing w:val="-51"/>
        </w:rPr>
        <w:t xml:space="preserve"> </w:t>
      </w:r>
      <w:r>
        <w:rPr>
          <w:spacing w:val="-2"/>
        </w:rPr>
        <w:t>元/平方米</w:t>
      </w:r>
      <w:r>
        <w:rPr>
          <w:spacing w:val="-2"/>
        </w:rPr>
        <w:t xml:space="preserve"> </w:t>
      </w:r>
      <w:r>
        <w:rPr>
          <w:spacing w:val="-2"/>
        </w:rPr>
        <w:t>·月的租金补贴，补贴面积不</w:t>
      </w:r>
      <w:r>
        <w:rPr/>
        <w:t xml:space="preserve"> </w:t>
      </w:r>
      <w:r>
        <w:rPr>
          <w:spacing w:val="6"/>
        </w:rPr>
        <w:t>超过</w:t>
      </w:r>
      <w:r>
        <w:rPr>
          <w:spacing w:val="-41"/>
        </w:rPr>
        <w:t xml:space="preserve"> </w:t>
      </w:r>
      <w:r>
        <w:rPr>
          <w:spacing w:val="6"/>
        </w:rPr>
        <w:t>500</w:t>
      </w:r>
      <w:r>
        <w:rPr>
          <w:spacing w:val="-52"/>
        </w:rPr>
        <w:t xml:space="preserve"> </w:t>
      </w:r>
      <w:r>
        <w:rPr>
          <w:spacing w:val="6"/>
        </w:rPr>
        <w:t>平方米（含）。单家企业年度最高补贴</w:t>
      </w:r>
      <w:r>
        <w:rPr>
          <w:spacing w:val="-38"/>
        </w:rPr>
        <w:t xml:space="preserve"> </w:t>
      </w:r>
      <w:r>
        <w:rPr>
          <w:spacing w:val="6"/>
        </w:rPr>
        <w:t>12</w:t>
      </w:r>
      <w:r>
        <w:rPr>
          <w:spacing w:val="-42"/>
        </w:rPr>
        <w:t xml:space="preserve"> </w:t>
      </w:r>
      <w:r>
        <w:rPr>
          <w:spacing w:val="6"/>
        </w:rPr>
        <w:t>万元，连续</w:t>
      </w:r>
      <w:r>
        <w:rPr/>
        <w:t xml:space="preserve"> </w:t>
      </w:r>
      <w:r>
        <w:rPr>
          <w:spacing w:val="5"/>
        </w:rPr>
        <w:t>补贴最多两年。补贴期间办公用房不得出（转）租或退租，不得</w:t>
      </w:r>
    </w:p>
    <w:p>
      <w:pPr>
        <w:spacing w:line="313" w:lineRule="auto"/>
        <w:sectPr>
          <w:footerReference w:type="default" r:id="rId4"/>
          <w:pgSz w:w="11907" w:h="16840"/>
          <w:pgMar w:top="1431" w:right="1385" w:bottom="1840" w:left="1592" w:header="0" w:footer="1581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8" w:right="67" w:hanging="9"/>
        <w:spacing w:before="101" w:line="305" w:lineRule="auto"/>
        <w:rPr/>
      </w:pPr>
      <w:r>
        <w:rPr>
          <w:spacing w:val="4"/>
        </w:rPr>
        <w:t>改变用途，否则须退还已经获得的全部补贴。本区原有企业在全</w:t>
      </w:r>
      <w:r>
        <w:rPr>
          <w:spacing w:val="4"/>
        </w:rPr>
        <w:t xml:space="preserve"> </w:t>
      </w:r>
      <w:r>
        <w:rPr>
          <w:spacing w:val="-4"/>
        </w:rPr>
        <w:t>区范围内合并、分立、重组、转产、转让、更名等，不给予补贴。</w:t>
      </w:r>
    </w:p>
    <w:p>
      <w:pPr>
        <w:pStyle w:val="BodyText"/>
        <w:ind w:left="8" w:right="156" w:firstLine="634"/>
        <w:spacing w:before="156" w:line="303" w:lineRule="auto"/>
        <w:rPr/>
      </w:pPr>
      <w:r>
        <w:rPr>
          <w:rFonts w:ascii="Microsoft YaHei" w:hAnsi="Microsoft YaHei" w:eastAsia="Microsoft YaHei" w:cs="Microsoft YaHei"/>
          <w:spacing w:val="7"/>
        </w:rPr>
        <w:t>2.入驻企业装修补贴。</w:t>
      </w:r>
      <w:r>
        <w:rPr>
          <w:spacing w:val="7"/>
        </w:rPr>
        <w:t>首次入驻我区商务楼宇，租赁办公面</w:t>
      </w:r>
      <w:r>
        <w:rPr/>
        <w:t xml:space="preserve"> </w:t>
      </w:r>
      <w:r>
        <w:rPr>
          <w:spacing w:val="3"/>
        </w:rPr>
        <w:t>积达到</w:t>
      </w:r>
      <w:r>
        <w:rPr>
          <w:spacing w:val="-38"/>
        </w:rPr>
        <w:t xml:space="preserve"> </w:t>
      </w:r>
      <w:r>
        <w:rPr>
          <w:spacing w:val="3"/>
        </w:rPr>
        <w:t>200</w:t>
      </w:r>
      <w:r>
        <w:rPr>
          <w:spacing w:val="-54"/>
        </w:rPr>
        <w:t xml:space="preserve"> </w:t>
      </w:r>
      <w:r>
        <w:rPr>
          <w:spacing w:val="3"/>
        </w:rPr>
        <w:t>平方米（含）以上，租期两年（含）以上并进行实质</w:t>
      </w:r>
      <w:r>
        <w:rPr/>
        <w:t xml:space="preserve"> </w:t>
      </w:r>
      <w:r>
        <w:rPr>
          <w:spacing w:val="5"/>
        </w:rPr>
        <w:t>性经营装修的企业，按该工程项目（硬装）部分竣工结算审核金</w:t>
      </w:r>
      <w:r>
        <w:rPr>
          <w:spacing w:val="10"/>
        </w:rPr>
        <w:t xml:space="preserve"> </w:t>
      </w:r>
      <w:r>
        <w:rPr>
          <w:spacing w:val="9"/>
        </w:rPr>
        <w:t>额的</w:t>
      </w:r>
      <w:r>
        <w:rPr>
          <w:spacing w:val="-36"/>
        </w:rPr>
        <w:t xml:space="preserve"> </w:t>
      </w:r>
      <w:r>
        <w:rPr>
          <w:spacing w:val="9"/>
        </w:rPr>
        <w:t>10%给予一次性补贴，单个企业补贴不超过</w:t>
      </w:r>
      <w:r>
        <w:rPr>
          <w:spacing w:val="-36"/>
        </w:rPr>
        <w:t xml:space="preserve"> </w:t>
      </w:r>
      <w:r>
        <w:rPr>
          <w:spacing w:val="9"/>
        </w:rPr>
        <w:t>10</w:t>
      </w:r>
      <w:r>
        <w:rPr>
          <w:spacing w:val="-37"/>
        </w:rPr>
        <w:t xml:space="preserve"> </w:t>
      </w:r>
      <w:r>
        <w:rPr>
          <w:spacing w:val="9"/>
        </w:rPr>
        <w:t>万元，</w:t>
      </w:r>
      <w:r>
        <w:rPr>
          <w:spacing w:val="8"/>
        </w:rPr>
        <w:t>同一</w:t>
      </w:r>
      <w:r>
        <w:rPr/>
        <w:t xml:space="preserve"> </w:t>
      </w:r>
      <w:r>
        <w:rPr>
          <w:spacing w:val="5"/>
        </w:rPr>
        <w:t>户型仅可享受一次补贴。补贴期间办公用房不得出（转）租或退</w:t>
      </w:r>
      <w:r>
        <w:rPr>
          <w:spacing w:val="10"/>
        </w:rPr>
        <w:t xml:space="preserve"> </w:t>
      </w:r>
      <w:r>
        <w:rPr>
          <w:spacing w:val="5"/>
        </w:rPr>
        <w:t>租，不得改变用途，否则应退还已经获得的全部补贴。为加强计</w:t>
      </w:r>
      <w:r>
        <w:rPr>
          <w:spacing w:val="10"/>
        </w:rPr>
        <w:t xml:space="preserve"> </w:t>
      </w:r>
      <w:r>
        <w:rPr>
          <w:spacing w:val="6"/>
        </w:rPr>
        <w:t>划性和前瞻性，</w:t>
      </w:r>
      <w:r>
        <w:rPr>
          <w:spacing w:val="-79"/>
        </w:rPr>
        <w:t xml:space="preserve"> </w:t>
      </w:r>
      <w:r>
        <w:rPr>
          <w:spacing w:val="6"/>
        </w:rPr>
        <w:t>申请装修补贴的，需先行纳入区年度计划。</w:t>
      </w:r>
    </w:p>
    <w:p>
      <w:pPr>
        <w:pStyle w:val="BodyText"/>
        <w:ind w:left="646"/>
        <w:spacing w:before="55" w:line="218" w:lineRule="auto"/>
        <w:rPr/>
      </w:pPr>
      <w:r>
        <w:rPr>
          <w:spacing w:val="5"/>
        </w:rPr>
        <w:t>本条款合计每年新增奖励总额不超过</w:t>
      </w:r>
      <w:r>
        <w:rPr>
          <w:spacing w:val="-43"/>
        </w:rPr>
        <w:t xml:space="preserve"> </w:t>
      </w:r>
      <w:r>
        <w:rPr>
          <w:spacing w:val="5"/>
        </w:rPr>
        <w:t>500</w:t>
      </w:r>
      <w:r>
        <w:rPr>
          <w:spacing w:val="-42"/>
        </w:rPr>
        <w:t xml:space="preserve"> </w:t>
      </w:r>
      <w:r>
        <w:rPr>
          <w:spacing w:val="5"/>
        </w:rPr>
        <w:t>万。</w:t>
      </w:r>
    </w:p>
    <w:p>
      <w:pPr>
        <w:ind w:left="672"/>
        <w:spacing w:before="172"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（二）支持落户奖励</w:t>
      </w:r>
    </w:p>
    <w:p>
      <w:pPr>
        <w:pStyle w:val="BodyText"/>
        <w:ind w:firstLine="637"/>
        <w:spacing w:before="155" w:line="308" w:lineRule="auto"/>
        <w:rPr/>
      </w:pPr>
      <w:r>
        <w:rPr>
          <w:rFonts w:ascii="Microsoft YaHei" w:hAnsi="Microsoft YaHei" w:eastAsia="Microsoft YaHei" w:cs="Microsoft YaHei"/>
          <w:spacing w:val="7"/>
        </w:rPr>
        <w:t>1.支持外资企业落户。</w:t>
      </w:r>
      <w:r>
        <w:rPr>
          <w:spacing w:val="7"/>
        </w:rPr>
        <w:t>首次入驻我区并开展实质性经营、外</w:t>
      </w:r>
      <w:r>
        <w:rPr>
          <w:spacing w:val="4"/>
        </w:rPr>
        <w:t xml:space="preserve">  </w:t>
      </w:r>
      <w:r>
        <w:rPr>
          <w:spacing w:val="3"/>
        </w:rPr>
        <w:t>方投资者实缴到位资本不低于</w:t>
      </w:r>
      <w:r>
        <w:rPr>
          <w:spacing w:val="-39"/>
        </w:rPr>
        <w:t xml:space="preserve"> </w:t>
      </w:r>
      <w:r>
        <w:rPr>
          <w:spacing w:val="3"/>
        </w:rPr>
        <w:t>100</w:t>
      </w:r>
      <w:r>
        <w:rPr>
          <w:spacing w:val="-45"/>
        </w:rPr>
        <w:t xml:space="preserve"> </w:t>
      </w:r>
      <w:r>
        <w:rPr>
          <w:spacing w:val="3"/>
        </w:rPr>
        <w:t>万（含）美元且落户当年营业</w:t>
      </w:r>
      <w:r>
        <w:rPr/>
        <w:t xml:space="preserve">  </w:t>
      </w:r>
      <w:r>
        <w:rPr>
          <w:spacing w:val="6"/>
        </w:rPr>
        <w:t>收入达到</w:t>
      </w:r>
      <w:r>
        <w:rPr>
          <w:spacing w:val="-38"/>
        </w:rPr>
        <w:t xml:space="preserve"> </w:t>
      </w:r>
      <w:r>
        <w:rPr>
          <w:spacing w:val="6"/>
        </w:rPr>
        <w:t>10</w:t>
      </w:r>
      <w:r>
        <w:rPr>
          <w:spacing w:val="-43"/>
        </w:rPr>
        <w:t xml:space="preserve"> </w:t>
      </w:r>
      <w:r>
        <w:rPr>
          <w:spacing w:val="6"/>
        </w:rPr>
        <w:t>万元（含）</w:t>
      </w:r>
      <w:r>
        <w:rPr>
          <w:spacing w:val="-84"/>
        </w:rPr>
        <w:t xml:space="preserve"> </w:t>
      </w:r>
      <w:r>
        <w:rPr>
          <w:spacing w:val="6"/>
        </w:rPr>
        <w:t>以上的外资企业，或新增实缴到位</w:t>
      </w:r>
      <w:r>
        <w:rPr>
          <w:spacing w:val="5"/>
        </w:rPr>
        <w:t>资本</w:t>
      </w:r>
      <w:r>
        <w:rPr/>
        <w:t xml:space="preserve">  </w:t>
      </w:r>
      <w:r>
        <w:rPr/>
        <w:t>不低于</w:t>
      </w:r>
      <w:r>
        <w:rPr>
          <w:spacing w:val="-26"/>
        </w:rPr>
        <w:t xml:space="preserve"> </w:t>
      </w:r>
      <w:r>
        <w:rPr/>
        <w:t>100</w:t>
      </w:r>
      <w:r>
        <w:rPr>
          <w:spacing w:val="-42"/>
        </w:rPr>
        <w:t xml:space="preserve"> </w:t>
      </w:r>
      <w:r>
        <w:rPr/>
        <w:t>万（含）美元、增资当年营业收入达到</w:t>
      </w:r>
      <w:r>
        <w:rPr>
          <w:spacing w:val="-40"/>
        </w:rPr>
        <w:t xml:space="preserve"> </w:t>
      </w:r>
      <w:r>
        <w:rPr/>
        <w:t>10</w:t>
      </w:r>
      <w:r>
        <w:rPr>
          <w:spacing w:val="-42"/>
        </w:rPr>
        <w:t xml:space="preserve"> </w:t>
      </w:r>
      <w:r>
        <w:rPr/>
        <w:t>万元（含）</w:t>
      </w:r>
      <w:r>
        <w:rPr/>
        <w:t xml:space="preserve"> </w:t>
      </w:r>
      <w:r>
        <w:rPr>
          <w:spacing w:val="5"/>
        </w:rPr>
        <w:t>以上的存量外资企业，按实缴到位资金分阶梯进行奖励，实缴到</w:t>
      </w:r>
      <w:r>
        <w:rPr>
          <w:spacing w:val="9"/>
        </w:rPr>
        <w:t xml:space="preserve">  </w:t>
      </w:r>
      <w:r>
        <w:rPr>
          <w:spacing w:val="10"/>
        </w:rPr>
        <w:t>位资金在</w:t>
      </w:r>
      <w:r>
        <w:rPr>
          <w:spacing w:val="-37"/>
        </w:rPr>
        <w:t xml:space="preserve"> </w:t>
      </w:r>
      <w:r>
        <w:rPr>
          <w:spacing w:val="10"/>
        </w:rPr>
        <w:t>5000</w:t>
      </w:r>
      <w:r>
        <w:rPr>
          <w:spacing w:val="-35"/>
        </w:rPr>
        <w:t xml:space="preserve"> </w:t>
      </w:r>
      <w:r>
        <w:rPr>
          <w:spacing w:val="10"/>
        </w:rPr>
        <w:t>万（含）美元以下的给予</w:t>
      </w:r>
      <w:r>
        <w:rPr>
          <w:spacing w:val="-39"/>
        </w:rPr>
        <w:t xml:space="preserve"> </w:t>
      </w:r>
      <w:r>
        <w:rPr>
          <w:spacing w:val="10"/>
        </w:rPr>
        <w:t>2‰奖励、</w:t>
      </w:r>
      <w:r>
        <w:rPr>
          <w:spacing w:val="9"/>
        </w:rPr>
        <w:t>5000</w:t>
      </w:r>
      <w:r>
        <w:rPr>
          <w:spacing w:val="-35"/>
        </w:rPr>
        <w:t xml:space="preserve"> </w:t>
      </w:r>
      <w:r>
        <w:rPr>
          <w:spacing w:val="9"/>
        </w:rPr>
        <w:t>万—1</w:t>
      </w:r>
      <w:r>
        <w:rPr/>
        <w:t xml:space="preserve">  </w:t>
      </w:r>
      <w:r>
        <w:rPr>
          <w:spacing w:val="11"/>
        </w:rPr>
        <w:t>亿（含）美元的给予</w:t>
      </w:r>
      <w:r>
        <w:rPr>
          <w:spacing w:val="-19"/>
        </w:rPr>
        <w:t xml:space="preserve"> </w:t>
      </w:r>
      <w:r>
        <w:rPr>
          <w:spacing w:val="11"/>
        </w:rPr>
        <w:t>3‰奖励、1</w:t>
      </w:r>
      <w:r>
        <w:rPr>
          <w:spacing w:val="-51"/>
        </w:rPr>
        <w:t xml:space="preserve"> </w:t>
      </w:r>
      <w:r>
        <w:rPr>
          <w:spacing w:val="11"/>
        </w:rPr>
        <w:t>亿美元以上的给予</w:t>
      </w:r>
      <w:r>
        <w:rPr>
          <w:spacing w:val="-45"/>
        </w:rPr>
        <w:t xml:space="preserve"> </w:t>
      </w:r>
      <w:r>
        <w:rPr>
          <w:spacing w:val="11"/>
        </w:rPr>
        <w:t>4‰奖励，</w:t>
      </w:r>
      <w:r>
        <w:rPr/>
        <w:t xml:space="preserve"> </w:t>
      </w:r>
      <w:r>
        <w:rPr>
          <w:spacing w:val="5"/>
        </w:rPr>
        <w:t>超出部分累进计算；奖励按实缴到位资金进账当日国家外汇管理</w:t>
      </w:r>
      <w:r>
        <w:rPr>
          <w:spacing w:val="9"/>
        </w:rPr>
        <w:t xml:space="preserve">  </w:t>
      </w:r>
      <w:r>
        <w:rPr>
          <w:spacing w:val="3"/>
        </w:rPr>
        <w:t>局公布的汇率中间价结算为人民币发放，一次性最高奖励</w:t>
      </w:r>
      <w:r>
        <w:rPr>
          <w:spacing w:val="-39"/>
        </w:rPr>
        <w:t xml:space="preserve"> </w:t>
      </w:r>
      <w:r>
        <w:rPr>
          <w:spacing w:val="3"/>
        </w:rPr>
        <w:t>3</w:t>
      </w:r>
      <w:r>
        <w:rPr>
          <w:spacing w:val="2"/>
        </w:rPr>
        <w:t>00</w:t>
      </w:r>
      <w:r>
        <w:rPr>
          <w:spacing w:val="-42"/>
        </w:rPr>
        <w:t xml:space="preserve"> </w:t>
      </w:r>
      <w:r>
        <w:rPr>
          <w:spacing w:val="2"/>
        </w:rPr>
        <w:t>万</w:t>
      </w:r>
      <w:r>
        <w:rPr/>
        <w:t xml:space="preserve">  </w:t>
      </w:r>
      <w:r>
        <w:rPr>
          <w:spacing w:val="4"/>
        </w:rPr>
        <w:t>元。每年奖励总额不超过</w:t>
      </w:r>
      <w:r>
        <w:rPr>
          <w:spacing w:val="-39"/>
        </w:rPr>
        <w:t xml:space="preserve"> </w:t>
      </w:r>
      <w:r>
        <w:rPr>
          <w:spacing w:val="4"/>
        </w:rPr>
        <w:t>600</w:t>
      </w:r>
      <w:r>
        <w:rPr>
          <w:spacing w:val="-42"/>
        </w:rPr>
        <w:t xml:space="preserve"> </w:t>
      </w:r>
      <w:r>
        <w:rPr>
          <w:spacing w:val="4"/>
        </w:rPr>
        <w:t>万元。</w:t>
      </w:r>
    </w:p>
    <w:p>
      <w:pPr>
        <w:pStyle w:val="BodyText"/>
        <w:ind w:left="22" w:right="156" w:firstLine="621"/>
        <w:spacing w:before="57" w:line="263" w:lineRule="auto"/>
        <w:rPr/>
      </w:pPr>
      <w:r>
        <w:rPr>
          <w:rFonts w:ascii="Microsoft YaHei" w:hAnsi="Microsoft YaHei" w:eastAsia="Microsoft YaHei" w:cs="Microsoft YaHei"/>
          <w:spacing w:val="7"/>
        </w:rPr>
        <w:t>2.支持高能级企业落户。</w:t>
      </w:r>
      <w:r>
        <w:rPr>
          <w:spacing w:val="7"/>
        </w:rPr>
        <w:t>首次入驻我区并开展实质性经营的</w:t>
      </w:r>
      <w:r>
        <w:rPr/>
        <w:t xml:space="preserve"> </w:t>
      </w:r>
      <w:r>
        <w:rPr>
          <w:spacing w:val="-1"/>
        </w:rPr>
        <w:t>500</w:t>
      </w:r>
      <w:r>
        <w:rPr>
          <w:spacing w:val="-39"/>
        </w:rPr>
        <w:t xml:space="preserve"> </w:t>
      </w:r>
      <w:r>
        <w:rPr>
          <w:spacing w:val="-1"/>
        </w:rPr>
        <w:t>强（财富世界</w:t>
      </w:r>
      <w:r>
        <w:rPr>
          <w:spacing w:val="-42"/>
        </w:rPr>
        <w:t xml:space="preserve"> </w:t>
      </w:r>
      <w:r>
        <w:rPr>
          <w:spacing w:val="-1"/>
        </w:rPr>
        <w:t>500</w:t>
      </w:r>
      <w:r>
        <w:rPr>
          <w:spacing w:val="-40"/>
        </w:rPr>
        <w:t xml:space="preserve"> </w:t>
      </w:r>
      <w:r>
        <w:rPr>
          <w:spacing w:val="-1"/>
        </w:rPr>
        <w:t>强、中国</w:t>
      </w:r>
      <w:r>
        <w:rPr>
          <w:spacing w:val="-44"/>
        </w:rPr>
        <w:t xml:space="preserve"> </w:t>
      </w:r>
      <w:r>
        <w:rPr>
          <w:spacing w:val="-1"/>
        </w:rPr>
        <w:t>500</w:t>
      </w:r>
      <w:r>
        <w:rPr>
          <w:spacing w:val="-40"/>
        </w:rPr>
        <w:t xml:space="preserve"> </w:t>
      </w:r>
      <w:r>
        <w:rPr>
          <w:spacing w:val="-1"/>
        </w:rPr>
        <w:t>强、民营</w:t>
      </w:r>
      <w:r>
        <w:rPr>
          <w:spacing w:val="-44"/>
        </w:rPr>
        <w:t xml:space="preserve"> </w:t>
      </w:r>
      <w:r>
        <w:rPr>
          <w:spacing w:val="-1"/>
        </w:rPr>
        <w:t>5</w:t>
      </w:r>
      <w:r>
        <w:rPr>
          <w:spacing w:val="-2"/>
        </w:rPr>
        <w:t>00</w:t>
      </w:r>
      <w:r>
        <w:rPr>
          <w:spacing w:val="-40"/>
        </w:rPr>
        <w:t xml:space="preserve"> </w:t>
      </w:r>
      <w:r>
        <w:rPr>
          <w:spacing w:val="-2"/>
        </w:rPr>
        <w:t>强）企业并认</w:t>
      </w:r>
    </w:p>
    <w:p>
      <w:pPr>
        <w:spacing w:line="263" w:lineRule="auto"/>
        <w:sectPr>
          <w:footerReference w:type="default" r:id="rId5"/>
          <w:pgSz w:w="11907" w:h="16840"/>
          <w:pgMar w:top="1431" w:right="1318" w:bottom="1844" w:left="1592" w:header="0" w:footer="1581" w:gutter="0"/>
        </w:sectPr>
        <w:rPr/>
      </w:pP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right="81" w:firstLine="15"/>
        <w:spacing w:before="101" w:line="316" w:lineRule="auto"/>
        <w:jc w:val="both"/>
        <w:rPr/>
      </w:pPr>
      <w:r>
        <w:rPr>
          <w:spacing w:val="8"/>
        </w:rPr>
        <w:t>证为总部或区域性总部，给予</w:t>
      </w:r>
      <w:r>
        <w:rPr>
          <w:spacing w:val="-42"/>
        </w:rPr>
        <w:t xml:space="preserve"> </w:t>
      </w:r>
      <w:r>
        <w:rPr>
          <w:spacing w:val="8"/>
        </w:rPr>
        <w:t>50</w:t>
      </w:r>
      <w:r>
        <w:rPr>
          <w:spacing w:val="-40"/>
        </w:rPr>
        <w:t xml:space="preserve"> </w:t>
      </w:r>
      <w:r>
        <w:rPr>
          <w:spacing w:val="8"/>
        </w:rPr>
        <w:t>万元一次性奖励；境内沪深主</w:t>
      </w:r>
      <w:r>
        <w:rPr/>
        <w:t xml:space="preserve"> </w:t>
      </w:r>
      <w:r>
        <w:rPr>
          <w:spacing w:val="5"/>
        </w:rPr>
        <w:t>板、北交所、创业板、科创板和海外主要资本市场主板与创业板</w:t>
      </w:r>
      <w:r>
        <w:rPr>
          <w:spacing w:val="18"/>
        </w:rPr>
        <w:t xml:space="preserve"> </w:t>
      </w:r>
      <w:r>
        <w:rPr>
          <w:spacing w:val="7"/>
        </w:rPr>
        <w:t>上市且落户次年营业收入规模达到</w:t>
      </w:r>
      <w:r>
        <w:rPr>
          <w:spacing w:val="-44"/>
        </w:rPr>
        <w:t xml:space="preserve"> </w:t>
      </w:r>
      <w:r>
        <w:rPr>
          <w:spacing w:val="7"/>
        </w:rPr>
        <w:t>5000</w:t>
      </w:r>
      <w:r>
        <w:rPr>
          <w:spacing w:val="-42"/>
        </w:rPr>
        <w:t xml:space="preserve"> </w:t>
      </w:r>
      <w:r>
        <w:rPr>
          <w:spacing w:val="7"/>
        </w:rPr>
        <w:t>万元以上的企</w:t>
      </w:r>
      <w:r>
        <w:rPr>
          <w:spacing w:val="6"/>
        </w:rPr>
        <w:t>业，给予</w:t>
      </w:r>
      <w:r>
        <w:rPr/>
        <w:t xml:space="preserve"> </w:t>
      </w:r>
      <w:r>
        <w:rPr>
          <w:spacing w:val="12"/>
        </w:rPr>
        <w:t>30</w:t>
      </w:r>
      <w:r>
        <w:rPr>
          <w:spacing w:val="-23"/>
        </w:rPr>
        <w:t xml:space="preserve"> </w:t>
      </w:r>
      <w:r>
        <w:rPr>
          <w:spacing w:val="12"/>
        </w:rPr>
        <w:t>万元一次性奖励；银行、证券、保险等金融机构的市一级以</w:t>
      </w:r>
      <w:r>
        <w:rPr/>
        <w:t xml:space="preserve"> </w:t>
      </w:r>
      <w:r>
        <w:rPr>
          <w:spacing w:val="5"/>
        </w:rPr>
        <w:t>上分支机构在我区直接投资（绝对控股或相对控股）注册的法人</w:t>
      </w:r>
      <w:r>
        <w:rPr>
          <w:spacing w:val="16"/>
        </w:rPr>
        <w:t xml:space="preserve"> </w:t>
      </w:r>
      <w:r>
        <w:rPr>
          <w:spacing w:val="3"/>
        </w:rPr>
        <w:t>企业，给予</w:t>
      </w:r>
      <w:r>
        <w:rPr>
          <w:spacing w:val="-19"/>
        </w:rPr>
        <w:t xml:space="preserve"> </w:t>
      </w:r>
      <w:r>
        <w:rPr>
          <w:spacing w:val="3"/>
        </w:rPr>
        <w:t>30</w:t>
      </w:r>
      <w:r>
        <w:rPr>
          <w:spacing w:val="-42"/>
        </w:rPr>
        <w:t xml:space="preserve"> </w:t>
      </w:r>
      <w:r>
        <w:rPr>
          <w:spacing w:val="3"/>
        </w:rPr>
        <w:t>万元一次性奖励。每年奖励总额不超过</w:t>
      </w:r>
      <w:r>
        <w:rPr>
          <w:spacing w:val="-35"/>
        </w:rPr>
        <w:t xml:space="preserve"> </w:t>
      </w:r>
      <w:r>
        <w:rPr>
          <w:spacing w:val="3"/>
        </w:rPr>
        <w:t>300</w:t>
      </w:r>
      <w:r>
        <w:rPr>
          <w:spacing w:val="-45"/>
        </w:rPr>
        <w:t xml:space="preserve"> </w:t>
      </w:r>
      <w:r>
        <w:rPr>
          <w:spacing w:val="3"/>
        </w:rPr>
        <w:t>万。</w:t>
      </w:r>
    </w:p>
    <w:p>
      <w:pPr>
        <w:pStyle w:val="BodyText"/>
        <w:ind w:left="8" w:right="45" w:firstLine="636"/>
        <w:spacing w:before="61" w:line="290" w:lineRule="auto"/>
        <w:jc w:val="both"/>
        <w:rPr/>
      </w:pPr>
      <w:r>
        <w:rPr>
          <w:rFonts w:ascii="Microsoft YaHei" w:hAnsi="Microsoft YaHei" w:eastAsia="Microsoft YaHei" w:cs="Microsoft YaHei"/>
          <w:spacing w:val="7"/>
        </w:rPr>
        <w:t>3.支持科研平台落户。</w:t>
      </w:r>
      <w:r>
        <w:rPr>
          <w:spacing w:val="7"/>
        </w:rPr>
        <w:t>首次入驻我区并开展实质性经</w:t>
      </w:r>
      <w:r>
        <w:rPr>
          <w:spacing w:val="6"/>
        </w:rPr>
        <w:t>营的国</w:t>
      </w:r>
      <w:r>
        <w:rPr/>
        <w:t xml:space="preserve"> </w:t>
      </w:r>
      <w:r>
        <w:rPr>
          <w:spacing w:val="6"/>
        </w:rPr>
        <w:t>家、省、市级重点实验室或工程技术研究中心等科技研发平台，</w:t>
      </w:r>
      <w:r>
        <w:rPr>
          <w:spacing w:val="18"/>
        </w:rPr>
        <w:t xml:space="preserve"> </w:t>
      </w:r>
      <w:r>
        <w:rPr>
          <w:spacing w:val="6"/>
        </w:rPr>
        <w:t>分别给予</w:t>
      </w:r>
      <w:r>
        <w:rPr>
          <w:spacing w:val="-45"/>
        </w:rPr>
        <w:t xml:space="preserve"> </w:t>
      </w:r>
      <w:r>
        <w:rPr>
          <w:spacing w:val="6"/>
        </w:rPr>
        <w:t>20</w:t>
      </w:r>
      <w:r>
        <w:rPr>
          <w:spacing w:val="-43"/>
        </w:rPr>
        <w:t xml:space="preserve"> </w:t>
      </w:r>
      <w:r>
        <w:rPr>
          <w:spacing w:val="6"/>
        </w:rPr>
        <w:t>万、10</w:t>
      </w:r>
      <w:r>
        <w:rPr>
          <w:spacing w:val="-39"/>
        </w:rPr>
        <w:t xml:space="preserve"> </w:t>
      </w:r>
      <w:r>
        <w:rPr>
          <w:spacing w:val="6"/>
        </w:rPr>
        <w:t>万、5</w:t>
      </w:r>
      <w:r>
        <w:rPr>
          <w:spacing w:val="-45"/>
        </w:rPr>
        <w:t xml:space="preserve"> </w:t>
      </w:r>
      <w:r>
        <w:rPr>
          <w:spacing w:val="6"/>
        </w:rPr>
        <w:t>万元一次性奖</w:t>
      </w:r>
      <w:r>
        <w:rPr>
          <w:spacing w:val="5"/>
        </w:rPr>
        <w:t>励。每年奖励总额不超</w:t>
      </w:r>
      <w:r>
        <w:rPr/>
        <w:t xml:space="preserve"> </w:t>
      </w:r>
      <w:r>
        <w:rPr>
          <w:spacing w:val="-8"/>
        </w:rPr>
        <w:t>过</w:t>
      </w:r>
      <w:r>
        <w:rPr>
          <w:spacing w:val="-40"/>
        </w:rPr>
        <w:t xml:space="preserve"> </w:t>
      </w:r>
      <w:r>
        <w:rPr>
          <w:spacing w:val="-8"/>
        </w:rPr>
        <w:t>100</w:t>
      </w:r>
      <w:r>
        <w:rPr>
          <w:spacing w:val="-44"/>
        </w:rPr>
        <w:t xml:space="preserve"> </w:t>
      </w:r>
      <w:r>
        <w:rPr>
          <w:spacing w:val="-8"/>
        </w:rPr>
        <w:t>万。</w:t>
      </w:r>
    </w:p>
    <w:p>
      <w:pPr>
        <w:pStyle w:val="BodyText"/>
        <w:ind w:left="8" w:right="81" w:firstLine="638"/>
        <w:spacing w:before="54" w:line="305" w:lineRule="auto"/>
        <w:rPr/>
      </w:pPr>
      <w:r>
        <w:rPr>
          <w:spacing w:val="5"/>
        </w:rPr>
        <w:t>本类别按从高不重复原则执行，申请奖补的企业需协议承诺</w:t>
      </w:r>
      <w:r>
        <w:rPr>
          <w:spacing w:val="1"/>
        </w:rPr>
        <w:t xml:space="preserve"> </w:t>
      </w:r>
      <w:r>
        <w:rPr>
          <w:spacing w:val="7"/>
        </w:rPr>
        <w:t>入驻经营不少于两年。</w:t>
      </w:r>
    </w:p>
    <w:p>
      <w:pPr>
        <w:ind w:left="646"/>
        <w:spacing w:before="5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第十条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鼓励提高楼宇开发品质</w:t>
      </w:r>
    </w:p>
    <w:p>
      <w:pPr>
        <w:pStyle w:val="BodyText"/>
        <w:ind w:left="3" w:firstLine="668"/>
        <w:spacing w:before="159" w:line="309" w:lineRule="auto"/>
        <w:rPr/>
      </w:pPr>
      <w:r>
        <w:rPr>
          <w:rFonts w:ascii="KaiTi" w:hAnsi="KaiTi" w:eastAsia="KaiTi" w:cs="KaiTi"/>
          <w:spacing w:val="4"/>
        </w:rPr>
        <w:t>（一）支持楼宇加快建设进度。</w:t>
      </w:r>
      <w:r>
        <w:rPr>
          <w:spacing w:val="4"/>
        </w:rPr>
        <w:t>对区内未开工建设或已开工</w:t>
      </w:r>
      <w:r>
        <w:rPr>
          <w:spacing w:val="2"/>
        </w:rPr>
        <w:t xml:space="preserve"> </w:t>
      </w:r>
      <w:r>
        <w:rPr>
          <w:spacing w:val="5"/>
        </w:rPr>
        <w:t>建设未竣工投产的楼宇项目，自本政策发布之日起，按用地协议</w:t>
      </w:r>
      <w:r>
        <w:rPr>
          <w:spacing w:val="12"/>
        </w:rPr>
        <w:t xml:space="preserve"> </w:t>
      </w:r>
      <w:r>
        <w:rPr>
          <w:spacing w:val="5"/>
        </w:rPr>
        <w:t>约定期限开工建设，开工后两年内完成建设投产且自持比例不低</w:t>
      </w:r>
      <w:r>
        <w:rPr>
          <w:spacing w:val="15"/>
        </w:rPr>
        <w:t xml:space="preserve"> </w:t>
      </w:r>
      <w:r>
        <w:rPr>
          <w:spacing w:val="7"/>
        </w:rPr>
        <w:t>于</w:t>
      </w:r>
      <w:r>
        <w:rPr>
          <w:spacing w:val="-44"/>
        </w:rPr>
        <w:t xml:space="preserve"> </w:t>
      </w:r>
      <w:r>
        <w:rPr>
          <w:spacing w:val="7"/>
        </w:rPr>
        <w:t>50%的商务楼宇（开工时间从获得施工许可手</w:t>
      </w:r>
      <w:r>
        <w:rPr>
          <w:spacing w:val="6"/>
        </w:rPr>
        <w:t>续之日起计算</w:t>
      </w:r>
      <w:r>
        <w:rPr>
          <w:spacing w:val="-110"/>
        </w:rPr>
        <w:t>），</w:t>
      </w:r>
      <w:r>
        <w:rPr/>
        <w:t xml:space="preserve"> </w:t>
      </w:r>
      <w:r>
        <w:rPr>
          <w:spacing w:val="5"/>
        </w:rPr>
        <w:t>按其办公建筑面积（不含配套设施用房建筑面积）给予楼宇开发</w:t>
      </w:r>
      <w:r>
        <w:rPr>
          <w:spacing w:val="15"/>
        </w:rPr>
        <w:t xml:space="preserve"> </w:t>
      </w:r>
      <w:r>
        <w:rPr>
          <w:spacing w:val="7"/>
        </w:rPr>
        <w:t>企业</w:t>
      </w:r>
      <w:r>
        <w:rPr>
          <w:spacing w:val="-49"/>
        </w:rPr>
        <w:t xml:space="preserve"> </w:t>
      </w:r>
      <w:r>
        <w:rPr>
          <w:spacing w:val="7"/>
        </w:rPr>
        <w:t>20</w:t>
      </w:r>
      <w:r>
        <w:rPr>
          <w:spacing w:val="-47"/>
        </w:rPr>
        <w:t xml:space="preserve"> </w:t>
      </w:r>
      <w:r>
        <w:rPr>
          <w:spacing w:val="7"/>
        </w:rPr>
        <w:t>元/平方米的投资奖励，单个项目奖励不超过</w:t>
      </w:r>
      <w:r>
        <w:rPr>
          <w:spacing w:val="-42"/>
        </w:rPr>
        <w:t xml:space="preserve"> </w:t>
      </w:r>
      <w:r>
        <w:rPr>
          <w:spacing w:val="7"/>
        </w:rPr>
        <w:t>50</w:t>
      </w:r>
      <w:r>
        <w:rPr>
          <w:spacing w:val="-42"/>
        </w:rPr>
        <w:t xml:space="preserve"> </w:t>
      </w:r>
      <w:r>
        <w:rPr>
          <w:spacing w:val="7"/>
        </w:rPr>
        <w:t>万元。</w:t>
      </w:r>
      <w:r>
        <w:rPr/>
        <w:t xml:space="preserve"> </w:t>
      </w:r>
      <w:r>
        <w:rPr>
          <w:spacing w:val="5"/>
        </w:rPr>
        <w:t>为加强计划性和前瞻性，申请进度补贴的，需先行纳入区年度计</w:t>
      </w:r>
      <w:r>
        <w:rPr>
          <w:spacing w:val="15"/>
        </w:rPr>
        <w:t xml:space="preserve"> </w:t>
      </w:r>
      <w:r>
        <w:rPr>
          <w:spacing w:val="-1"/>
        </w:rPr>
        <w:t>划。</w:t>
      </w:r>
    </w:p>
    <w:p>
      <w:pPr>
        <w:pStyle w:val="BodyText"/>
        <w:ind w:left="22" w:right="81" w:firstLine="650"/>
        <w:spacing w:before="170" w:line="270" w:lineRule="auto"/>
        <w:rPr/>
      </w:pPr>
      <w:r>
        <w:rPr>
          <w:rFonts w:ascii="KaiTi" w:hAnsi="KaiTi" w:eastAsia="KaiTi" w:cs="KaiTi"/>
          <w:spacing w:val="4"/>
        </w:rPr>
        <w:t>（二）支持楼宇推进标准化认证。</w:t>
      </w:r>
      <w:r>
        <w:rPr>
          <w:spacing w:val="4"/>
        </w:rPr>
        <w:t>鼓励商务楼宇通过推进各</w:t>
      </w:r>
      <w:r>
        <w:rPr/>
        <w:t xml:space="preserve"> </w:t>
      </w:r>
      <w:r>
        <w:rPr>
          <w:spacing w:val="5"/>
        </w:rPr>
        <w:t>类标准化认证提升品质。自本政策发布之日起，对获得</w:t>
      </w:r>
      <w:r>
        <w:rPr>
          <w:spacing w:val="4"/>
        </w:rPr>
        <w:t>任一项国</w:t>
      </w:r>
    </w:p>
    <w:p>
      <w:pPr>
        <w:spacing w:line="270" w:lineRule="auto"/>
        <w:sectPr>
          <w:footerReference w:type="default" r:id="rId6"/>
          <w:pgSz w:w="11907" w:h="16840"/>
          <w:pgMar w:top="1431" w:right="1392" w:bottom="1840" w:left="1592" w:header="0" w:footer="1577" w:gutter="0"/>
        </w:sectPr>
        <w:rPr/>
      </w:pP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right="158" w:firstLine="10"/>
        <w:spacing w:before="101" w:line="310" w:lineRule="auto"/>
        <w:jc w:val="both"/>
        <w:rPr/>
      </w:pPr>
      <w:r>
        <w:rPr>
          <w:spacing w:val="-5"/>
        </w:rPr>
        <w:t>家绿色建筑、LEED（绿色建筑）、WELL（健康建筑）、BOMA（商业</w:t>
      </w:r>
      <w:r>
        <w:rPr>
          <w:spacing w:val="7"/>
        </w:rPr>
        <w:t xml:space="preserve"> </w:t>
      </w:r>
      <w:r>
        <w:rPr>
          <w:spacing w:val="9"/>
        </w:rPr>
        <w:t>地产）评价认证的，给予实施主体</w:t>
      </w:r>
      <w:r>
        <w:rPr>
          <w:spacing w:val="-49"/>
        </w:rPr>
        <w:t xml:space="preserve"> </w:t>
      </w:r>
      <w:r>
        <w:rPr>
          <w:spacing w:val="9"/>
        </w:rPr>
        <w:t>20</w:t>
      </w:r>
      <w:r>
        <w:rPr>
          <w:spacing w:val="-39"/>
        </w:rPr>
        <w:t xml:space="preserve"> </w:t>
      </w:r>
      <w:r>
        <w:rPr>
          <w:spacing w:val="9"/>
        </w:rPr>
        <w:t>万元</w:t>
      </w:r>
      <w:r>
        <w:rPr>
          <w:spacing w:val="8"/>
        </w:rPr>
        <w:t>一次性奖励，本类别</w:t>
      </w:r>
      <w:r>
        <w:rPr/>
        <w:t xml:space="preserve"> </w:t>
      </w:r>
      <w:r>
        <w:rPr>
          <w:spacing w:val="7"/>
        </w:rPr>
        <w:t>不重复享受奖励。</w:t>
      </w:r>
    </w:p>
    <w:p>
      <w:pPr>
        <w:ind w:left="643"/>
        <w:spacing w:before="5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第十一条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鼓励强化楼宇运营能力</w:t>
      </w:r>
    </w:p>
    <w:p>
      <w:pPr>
        <w:pStyle w:val="BodyText"/>
        <w:ind w:right="4" w:firstLine="668"/>
        <w:spacing w:before="164" w:line="311" w:lineRule="auto"/>
        <w:rPr/>
      </w:pPr>
      <w:r>
        <w:rPr>
          <w:rFonts w:ascii="KaiTi" w:hAnsi="KaiTi" w:eastAsia="KaiTi" w:cs="KaiTi"/>
          <w:spacing w:val="2"/>
        </w:rPr>
        <w:t>（一）支持楼宇增加产权自持比例。</w:t>
      </w:r>
      <w:r>
        <w:rPr>
          <w:spacing w:val="2"/>
        </w:rPr>
        <w:t>自</w:t>
      </w:r>
      <w:r>
        <w:rPr>
          <w:spacing w:val="-50"/>
        </w:rPr>
        <w:t xml:space="preserve"> </w:t>
      </w:r>
      <w:r>
        <w:rPr>
          <w:spacing w:val="2"/>
        </w:rPr>
        <w:t>2020</w:t>
      </w:r>
      <w:r>
        <w:rPr>
          <w:spacing w:val="-56"/>
        </w:rPr>
        <w:t xml:space="preserve"> </w:t>
      </w:r>
      <w:r>
        <w:rPr>
          <w:spacing w:val="2"/>
        </w:rPr>
        <w:t>年起竣工交付、</w:t>
      </w:r>
      <w:r>
        <w:rPr/>
        <w:t xml:space="preserve"> </w:t>
      </w:r>
      <w:r>
        <w:rPr>
          <w:spacing w:val="3"/>
        </w:rPr>
        <w:t>建筑面积在</w:t>
      </w:r>
      <w:r>
        <w:rPr>
          <w:spacing w:val="-36"/>
        </w:rPr>
        <w:t xml:space="preserve"> </w:t>
      </w:r>
      <w:r>
        <w:rPr>
          <w:spacing w:val="3"/>
        </w:rPr>
        <w:t>15000</w:t>
      </w:r>
      <w:r>
        <w:rPr>
          <w:spacing w:val="-54"/>
        </w:rPr>
        <w:t xml:space="preserve"> </w:t>
      </w:r>
      <w:r>
        <w:rPr>
          <w:spacing w:val="3"/>
        </w:rPr>
        <w:t>平方米（不含楼宇配套设施用房建筑面积）以</w:t>
      </w:r>
      <w:r>
        <w:rPr/>
        <w:t xml:space="preserve">  </w:t>
      </w:r>
      <w:r>
        <w:rPr>
          <w:spacing w:val="6"/>
        </w:rPr>
        <w:t>上的商务楼宇，保持产权自持比例为</w:t>
      </w:r>
      <w:r>
        <w:rPr>
          <w:spacing w:val="-32"/>
        </w:rPr>
        <w:t xml:space="preserve"> </w:t>
      </w:r>
      <w:r>
        <w:rPr>
          <w:spacing w:val="6"/>
        </w:rPr>
        <w:t>50%（含）以上、70%（含）</w:t>
      </w:r>
      <w:r>
        <w:rPr/>
        <w:t xml:space="preserve"> </w:t>
      </w:r>
      <w:r>
        <w:rPr>
          <w:spacing w:val="6"/>
        </w:rPr>
        <w:t>以上、100%的，实质性经营且自持部分入驻率达到</w:t>
      </w:r>
      <w:r>
        <w:rPr>
          <w:spacing w:val="-31"/>
        </w:rPr>
        <w:t xml:space="preserve"> </w:t>
      </w:r>
      <w:r>
        <w:rPr>
          <w:spacing w:val="6"/>
        </w:rPr>
        <w:t>70%（不包含</w:t>
      </w:r>
      <w:r>
        <w:rPr/>
        <w:t xml:space="preserve">  </w:t>
      </w:r>
      <w:r>
        <w:rPr>
          <w:spacing w:val="10"/>
        </w:rPr>
        <w:t>自用办公面积</w:t>
      </w:r>
      <w:r>
        <w:rPr>
          <w:spacing w:val="-54"/>
        </w:rPr>
        <w:t>），</w:t>
      </w:r>
      <w:r>
        <w:rPr>
          <w:spacing w:val="10"/>
        </w:rPr>
        <w:t>正常运营并产生实质营业收入后，分别给予开</w:t>
      </w:r>
      <w:r>
        <w:rPr/>
        <w:t xml:space="preserve">  </w:t>
      </w:r>
      <w:r>
        <w:rPr/>
        <w:t>发企业</w:t>
      </w:r>
      <w:r>
        <w:rPr>
          <w:spacing w:val="-27"/>
        </w:rPr>
        <w:t xml:space="preserve"> </w:t>
      </w:r>
      <w:r>
        <w:rPr/>
        <w:t>15</w:t>
      </w:r>
      <w:r>
        <w:rPr>
          <w:spacing w:val="-44"/>
        </w:rPr>
        <w:t xml:space="preserve"> </w:t>
      </w:r>
      <w:r>
        <w:rPr/>
        <w:t>万元、25</w:t>
      </w:r>
      <w:r>
        <w:rPr>
          <w:spacing w:val="-42"/>
        </w:rPr>
        <w:t xml:space="preserve"> </w:t>
      </w:r>
      <w:r>
        <w:rPr/>
        <w:t>万元、35</w:t>
      </w:r>
      <w:r>
        <w:rPr>
          <w:spacing w:val="-42"/>
        </w:rPr>
        <w:t xml:space="preserve"> </w:t>
      </w:r>
      <w:r>
        <w:rPr/>
        <w:t>万元的补贴，在达到下一级奖励台</w:t>
      </w:r>
      <w:r>
        <w:rPr/>
        <w:t xml:space="preserve">  </w:t>
      </w:r>
      <w:r>
        <w:rPr>
          <w:spacing w:val="5"/>
        </w:rPr>
        <w:t>阶后，给予差额部分奖励。自享受本政策之日起五年内（含）不</w:t>
      </w:r>
      <w:r>
        <w:rPr>
          <w:spacing w:val="8"/>
        </w:rPr>
        <w:t xml:space="preserve">  </w:t>
      </w:r>
      <w:r>
        <w:rPr>
          <w:spacing w:val="5"/>
        </w:rPr>
        <w:t>得分割出售。地产类项目在其土地挂牌条件或其他磋商性文件中</w:t>
      </w:r>
      <w:r>
        <w:rPr>
          <w:spacing w:val="7"/>
        </w:rPr>
        <w:t xml:space="preserve">  </w:t>
      </w:r>
      <w:r>
        <w:rPr>
          <w:spacing w:val="3"/>
        </w:rPr>
        <w:t>明确了</w:t>
      </w:r>
      <w:r>
        <w:rPr>
          <w:spacing w:val="-85"/>
        </w:rPr>
        <w:t xml:space="preserve"> </w:t>
      </w:r>
      <w:r>
        <w:rPr>
          <w:spacing w:val="3"/>
        </w:rPr>
        <w:t>自持商务楼宇的不在奖励范围，其超过承诺条件的自</w:t>
      </w:r>
      <w:r>
        <w:rPr>
          <w:spacing w:val="2"/>
        </w:rPr>
        <w:t>持商</w:t>
      </w:r>
      <w:r>
        <w:rPr/>
        <w:t xml:space="preserve">  </w:t>
      </w:r>
      <w:r>
        <w:rPr>
          <w:spacing w:val="8"/>
        </w:rPr>
        <w:t>务楼宇部分，经认定予以支持。</w:t>
      </w:r>
    </w:p>
    <w:p>
      <w:pPr>
        <w:pStyle w:val="BodyText"/>
        <w:ind w:left="7" w:right="61" w:firstLine="644"/>
        <w:spacing w:before="173" w:line="283" w:lineRule="auto"/>
        <w:rPr/>
      </w:pPr>
      <w:r>
        <w:rPr>
          <w:rFonts w:ascii="Microsoft YaHei" w:hAnsi="Microsoft YaHei" w:eastAsia="Microsoft YaHei" w:cs="Microsoft YaHei"/>
          <w:spacing w:val="-8"/>
        </w:rPr>
        <w:t>（ 二</w:t>
      </w:r>
      <w:r>
        <w:rPr>
          <w:rFonts w:ascii="Microsoft YaHei" w:hAnsi="Microsoft YaHei" w:eastAsia="Microsoft YaHei" w:cs="Microsoft YaHei"/>
          <w:spacing w:val="-49"/>
        </w:rPr>
        <w:t xml:space="preserve"> </w:t>
      </w:r>
      <w:r>
        <w:rPr>
          <w:rFonts w:ascii="Microsoft YaHei" w:hAnsi="Microsoft YaHei" w:eastAsia="Microsoft YaHei" w:cs="Microsoft YaHei"/>
          <w:spacing w:val="-8"/>
        </w:rPr>
        <w:t>）支持整合商务楼宇统一运营。</w:t>
      </w:r>
      <w:r>
        <w:rPr>
          <w:spacing w:val="-8"/>
        </w:rPr>
        <w:t>对零散产权、分散租赁、</w:t>
      </w:r>
      <w:r>
        <w:rPr/>
        <w:t xml:space="preserve"> </w:t>
      </w:r>
      <w:r>
        <w:rPr>
          <w:spacing w:val="17"/>
        </w:rPr>
        <w:t>闲置未投入运营的商务楼宇通过整租或收购等方式进</w:t>
      </w:r>
      <w:r>
        <w:rPr>
          <w:spacing w:val="16"/>
        </w:rPr>
        <w:t>行整合并</w:t>
      </w:r>
      <w:r>
        <w:rPr/>
        <w:t xml:space="preserve"> </w:t>
      </w:r>
      <w:r>
        <w:rPr>
          <w:spacing w:val="5"/>
        </w:rPr>
        <w:t>统一运营不少于五年（含</w:t>
      </w:r>
      <w:r>
        <w:rPr>
          <w:spacing w:val="-52"/>
        </w:rPr>
        <w:t>），</w:t>
      </w:r>
      <w:r>
        <w:rPr>
          <w:spacing w:val="5"/>
        </w:rPr>
        <w:t>整合运营面积</w:t>
      </w:r>
      <w:r>
        <w:rPr>
          <w:spacing w:val="-46"/>
        </w:rPr>
        <w:t xml:space="preserve"> </w:t>
      </w:r>
      <w:r>
        <w:rPr>
          <w:spacing w:val="5"/>
        </w:rPr>
        <w:t>5000</w:t>
      </w:r>
      <w:r>
        <w:rPr>
          <w:spacing w:val="-55"/>
        </w:rPr>
        <w:t xml:space="preserve"> </w:t>
      </w:r>
      <w:r>
        <w:rPr>
          <w:spacing w:val="5"/>
        </w:rPr>
        <w:t>平方米、10000</w:t>
      </w:r>
      <w:r>
        <w:rPr/>
        <w:t xml:space="preserve">  </w:t>
      </w:r>
      <w:r>
        <w:rPr>
          <w:spacing w:val="7"/>
        </w:rPr>
        <w:t>平方米、15000</w:t>
      </w:r>
      <w:r>
        <w:rPr>
          <w:spacing w:val="-55"/>
        </w:rPr>
        <w:t xml:space="preserve"> </w:t>
      </w:r>
      <w:r>
        <w:rPr>
          <w:spacing w:val="7"/>
        </w:rPr>
        <w:t>平方米的，经事前备案认定，实质</w:t>
      </w:r>
      <w:r>
        <w:rPr>
          <w:spacing w:val="6"/>
        </w:rPr>
        <w:t>性经营满一年</w:t>
      </w:r>
      <w:r>
        <w:rPr/>
        <w:t xml:space="preserve"> </w:t>
      </w:r>
      <w:r>
        <w:rPr>
          <w:spacing w:val="5"/>
        </w:rPr>
        <w:t>且入驻率达到</w:t>
      </w:r>
      <w:r>
        <w:rPr>
          <w:spacing w:val="-43"/>
        </w:rPr>
        <w:t xml:space="preserve"> </w:t>
      </w:r>
      <w:r>
        <w:rPr>
          <w:spacing w:val="5"/>
        </w:rPr>
        <w:t>70%（含）后，给予运营企业</w:t>
      </w:r>
      <w:r>
        <w:rPr>
          <w:spacing w:val="-41"/>
        </w:rPr>
        <w:t xml:space="preserve"> </w:t>
      </w:r>
      <w:r>
        <w:rPr>
          <w:spacing w:val="5"/>
        </w:rPr>
        <w:t>10</w:t>
      </w:r>
      <w:r>
        <w:rPr>
          <w:spacing w:val="-42"/>
        </w:rPr>
        <w:t xml:space="preserve"> </w:t>
      </w:r>
      <w:r>
        <w:rPr>
          <w:spacing w:val="5"/>
        </w:rPr>
        <w:t>万元、2</w:t>
      </w:r>
      <w:r>
        <w:rPr>
          <w:spacing w:val="4"/>
        </w:rPr>
        <w:t>0</w:t>
      </w:r>
      <w:r>
        <w:rPr>
          <w:spacing w:val="-42"/>
        </w:rPr>
        <w:t xml:space="preserve"> </w:t>
      </w:r>
      <w:r>
        <w:rPr>
          <w:spacing w:val="4"/>
        </w:rPr>
        <w:t>万元、</w:t>
      </w:r>
    </w:p>
    <w:p>
      <w:pPr>
        <w:pStyle w:val="BodyText"/>
        <w:ind w:left="27"/>
        <w:spacing w:before="172" w:line="218" w:lineRule="auto"/>
        <w:rPr/>
      </w:pPr>
      <w:r>
        <w:rPr>
          <w:spacing w:val="6"/>
        </w:rPr>
        <w:t>30</w:t>
      </w:r>
      <w:r>
        <w:rPr>
          <w:spacing w:val="-42"/>
        </w:rPr>
        <w:t xml:space="preserve"> </w:t>
      </w:r>
      <w:r>
        <w:rPr>
          <w:spacing w:val="6"/>
        </w:rPr>
        <w:t>万元的补贴，在达到下一级奖励台阶后</w:t>
      </w:r>
      <w:r>
        <w:rPr>
          <w:spacing w:val="5"/>
        </w:rPr>
        <w:t>，给予差额部分奖励。</w:t>
      </w:r>
    </w:p>
    <w:p>
      <w:pPr>
        <w:pStyle w:val="BodyText"/>
        <w:ind w:firstLine="651"/>
        <w:spacing w:before="172" w:line="260" w:lineRule="auto"/>
        <w:rPr/>
      </w:pPr>
      <w:r>
        <w:rPr>
          <w:rFonts w:ascii="Microsoft YaHei" w:hAnsi="Microsoft YaHei" w:eastAsia="Microsoft YaHei" w:cs="Microsoft YaHei"/>
        </w:rPr>
        <w:t>（</w:t>
      </w:r>
      <w:r>
        <w:rPr>
          <w:rFonts w:ascii="Microsoft YaHei" w:hAnsi="Microsoft YaHei" w:eastAsia="Microsoft YaHei" w:cs="Microsoft YaHei"/>
          <w:spacing w:val="-12"/>
        </w:rPr>
        <w:t xml:space="preserve"> </w:t>
      </w:r>
      <w:r>
        <w:rPr>
          <w:rFonts w:ascii="Microsoft YaHei" w:hAnsi="Microsoft YaHei" w:eastAsia="Microsoft YaHei" w:cs="Microsoft YaHei"/>
        </w:rPr>
        <w:t>三</w:t>
      </w:r>
      <w:r>
        <w:rPr>
          <w:rFonts w:ascii="Microsoft YaHei" w:hAnsi="Microsoft YaHei" w:eastAsia="Microsoft YaHei" w:cs="Microsoft YaHei"/>
          <w:spacing w:val="-48"/>
        </w:rPr>
        <w:t xml:space="preserve"> </w:t>
      </w:r>
      <w:r>
        <w:rPr>
          <w:rFonts w:ascii="Microsoft YaHei" w:hAnsi="Microsoft YaHei" w:eastAsia="Microsoft YaHei" w:cs="Microsoft YaHei"/>
        </w:rPr>
        <w:t>）支持楼宇设立企业服务中心。</w:t>
      </w:r>
      <w:r>
        <w:rPr/>
        <w:t>对依标准在楼宇内新设</w:t>
      </w:r>
      <w:r>
        <w:rPr/>
        <w:t xml:space="preserve">  </w:t>
      </w:r>
      <w:r>
        <w:rPr>
          <w:spacing w:val="3"/>
        </w:rPr>
        <w:t>立企业服务中心，面积达</w:t>
      </w:r>
      <w:r>
        <w:rPr>
          <w:spacing w:val="-33"/>
        </w:rPr>
        <w:t xml:space="preserve"> </w:t>
      </w:r>
      <w:r>
        <w:rPr>
          <w:spacing w:val="3"/>
        </w:rPr>
        <w:t>100</w:t>
      </w:r>
      <w:r>
        <w:rPr>
          <w:spacing w:val="-54"/>
        </w:rPr>
        <w:t xml:space="preserve"> </w:t>
      </w:r>
      <w:r>
        <w:rPr>
          <w:spacing w:val="3"/>
        </w:rPr>
        <w:t>平方米（含）以上，配备专职人员</w:t>
      </w:r>
      <w:r>
        <w:rPr/>
        <w:t xml:space="preserve">  </w:t>
      </w:r>
      <w:r>
        <w:rPr>
          <w:spacing w:val="-12"/>
        </w:rPr>
        <w:t>提供政务、工商、财税、投融资等相关企业服务且不少于</w:t>
      </w:r>
      <w:r>
        <w:rPr>
          <w:spacing w:val="-38"/>
        </w:rPr>
        <w:t xml:space="preserve"> </w:t>
      </w:r>
      <w:r>
        <w:rPr>
          <w:spacing w:val="-13"/>
        </w:rPr>
        <w:t>3</w:t>
      </w:r>
      <w:r>
        <w:rPr>
          <w:spacing w:val="-58"/>
        </w:rPr>
        <w:t xml:space="preserve"> </w:t>
      </w:r>
      <w:r>
        <w:rPr>
          <w:spacing w:val="-13"/>
        </w:rPr>
        <w:t>项（含）</w:t>
      </w:r>
    </w:p>
    <w:p>
      <w:pPr>
        <w:spacing w:line="260" w:lineRule="auto"/>
        <w:sectPr>
          <w:footerReference w:type="default" r:id="rId7"/>
          <w:pgSz w:w="11907" w:h="16840"/>
          <w:pgMar w:top="1431" w:right="1315" w:bottom="1844" w:left="1596" w:header="0" w:footer="1581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6" w:right="82" w:firstLine="23"/>
        <w:spacing w:before="101" w:line="306" w:lineRule="auto"/>
        <w:rPr/>
      </w:pPr>
      <w:r>
        <w:rPr>
          <w:spacing w:val="4"/>
        </w:rPr>
        <w:t>的楼宇运营企业，每年给予</w:t>
      </w:r>
      <w:r>
        <w:rPr>
          <w:spacing w:val="-47"/>
        </w:rPr>
        <w:t xml:space="preserve"> </w:t>
      </w:r>
      <w:r>
        <w:rPr>
          <w:spacing w:val="4"/>
        </w:rPr>
        <w:t>5</w:t>
      </w:r>
      <w:r>
        <w:rPr>
          <w:spacing w:val="-45"/>
        </w:rPr>
        <w:t xml:space="preserve"> </w:t>
      </w:r>
      <w:r>
        <w:rPr>
          <w:spacing w:val="4"/>
        </w:rPr>
        <w:t>万元补贴，连续补贴最高不超过</w:t>
      </w:r>
      <w:r>
        <w:rPr>
          <w:spacing w:val="-51"/>
        </w:rPr>
        <w:t xml:space="preserve"> </w:t>
      </w:r>
      <w:r>
        <w:rPr>
          <w:spacing w:val="4"/>
        </w:rPr>
        <w:t>2</w:t>
      </w:r>
      <w:r>
        <w:rPr/>
        <w:t xml:space="preserve"> </w:t>
      </w:r>
      <w:r>
        <w:rPr>
          <w:spacing w:val="-4"/>
        </w:rPr>
        <w:t>年。</w:t>
      </w:r>
    </w:p>
    <w:p>
      <w:pPr>
        <w:ind w:left="643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第十二条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鼓励提升楼宇产业能级</w:t>
      </w:r>
    </w:p>
    <w:p>
      <w:pPr>
        <w:ind w:left="651"/>
        <w:spacing w:before="160" w:line="21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（一）</w:t>
      </w:r>
      <w:r>
        <w:rPr>
          <w:rFonts w:ascii="Microsoft YaHei" w:hAnsi="Microsoft YaHei" w:eastAsia="Microsoft YaHei" w:cs="Microsoft YaHei"/>
          <w:sz w:val="31"/>
          <w:szCs w:val="31"/>
          <w:spacing w:val="-5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支持楼宇做强产业招引</w:t>
      </w:r>
    </w:p>
    <w:p>
      <w:pPr>
        <w:pStyle w:val="BodyText"/>
        <w:ind w:left="2" w:right="81" w:firstLine="631"/>
        <w:spacing w:before="72" w:line="280" w:lineRule="auto"/>
        <w:jc w:val="both"/>
        <w:rPr/>
      </w:pPr>
      <w:r>
        <w:rPr>
          <w:rFonts w:ascii="Microsoft YaHei" w:hAnsi="Microsoft YaHei" w:eastAsia="Microsoft YaHei" w:cs="Microsoft YaHei"/>
          <w:spacing w:val="6"/>
        </w:rPr>
        <w:t>1.支持楼宇招引外资企业</w:t>
      </w:r>
      <w:r>
        <w:rPr>
          <w:rFonts w:ascii="Microsoft YaHei" w:hAnsi="Microsoft YaHei" w:eastAsia="Microsoft YaHei" w:cs="Microsoft YaHei"/>
          <w:spacing w:val="-54"/>
        </w:rPr>
        <w:t xml:space="preserve"> </w:t>
      </w:r>
      <w:r>
        <w:rPr>
          <w:rFonts w:ascii="Microsoft YaHei" w:hAnsi="Microsoft YaHei" w:eastAsia="Microsoft YaHei" w:cs="Microsoft YaHei"/>
          <w:spacing w:val="6"/>
        </w:rPr>
        <w:t>。</w:t>
      </w:r>
      <w:r>
        <w:rPr>
          <w:spacing w:val="6"/>
        </w:rPr>
        <w:t>楼宇运营企业每新</w:t>
      </w:r>
      <w:r>
        <w:rPr>
          <w:spacing w:val="5"/>
        </w:rPr>
        <w:t>引进一家符合</w:t>
      </w:r>
      <w:r>
        <w:rPr/>
        <w:t xml:space="preserve"> </w:t>
      </w:r>
      <w:r>
        <w:rPr>
          <w:spacing w:val="5"/>
        </w:rPr>
        <w:t>本政策第九条第二款中的外资企业并开展实质性经营一年后，给</w:t>
      </w:r>
      <w:r>
        <w:rPr>
          <w:spacing w:val="12"/>
        </w:rPr>
        <w:t xml:space="preserve"> </w:t>
      </w:r>
      <w:r>
        <w:rPr>
          <w:spacing w:val="2"/>
        </w:rPr>
        <w:t>予</w:t>
      </w:r>
      <w:r>
        <w:rPr>
          <w:spacing w:val="-25"/>
        </w:rPr>
        <w:t xml:space="preserve"> </w:t>
      </w:r>
      <w:r>
        <w:rPr>
          <w:spacing w:val="2"/>
        </w:rPr>
        <w:t>3</w:t>
      </w:r>
      <w:r>
        <w:rPr>
          <w:spacing w:val="-44"/>
        </w:rPr>
        <w:t xml:space="preserve"> </w:t>
      </w:r>
      <w:r>
        <w:rPr>
          <w:spacing w:val="2"/>
        </w:rPr>
        <w:t>万元一次性奖励，每年奖励总额不超过</w:t>
      </w:r>
      <w:r>
        <w:rPr>
          <w:spacing w:val="43"/>
        </w:rPr>
        <w:t xml:space="preserve"> </w:t>
      </w:r>
      <w:r>
        <w:rPr>
          <w:spacing w:val="2"/>
        </w:rPr>
        <w:t>30</w:t>
      </w:r>
      <w:r>
        <w:rPr>
          <w:spacing w:val="-42"/>
        </w:rPr>
        <w:t xml:space="preserve"> </w:t>
      </w:r>
      <w:r>
        <w:rPr>
          <w:spacing w:val="2"/>
        </w:rPr>
        <w:t>万元。</w:t>
      </w:r>
    </w:p>
    <w:p>
      <w:pPr>
        <w:pStyle w:val="BodyText"/>
        <w:ind w:left="6" w:right="81" w:firstLine="633"/>
        <w:spacing w:before="60" w:line="291" w:lineRule="auto"/>
        <w:jc w:val="both"/>
        <w:rPr/>
      </w:pPr>
      <w:r>
        <w:rPr>
          <w:rFonts w:ascii="Microsoft YaHei" w:hAnsi="Microsoft YaHei" w:eastAsia="Microsoft YaHei" w:cs="Microsoft YaHei"/>
          <w:spacing w:val="7"/>
        </w:rPr>
        <w:t>2.支持楼宇招引高能级企业。</w:t>
      </w:r>
      <w:r>
        <w:rPr>
          <w:spacing w:val="7"/>
        </w:rPr>
        <w:t>楼宇运营企业每新引进一家符</w:t>
      </w:r>
      <w:r>
        <w:rPr/>
        <w:t xml:space="preserve"> </w:t>
      </w:r>
      <w:r>
        <w:rPr>
          <w:spacing w:val="3"/>
        </w:rPr>
        <w:t>合本政策第九条第二款中的</w:t>
      </w:r>
      <w:r>
        <w:rPr>
          <w:spacing w:val="-44"/>
        </w:rPr>
        <w:t xml:space="preserve"> </w:t>
      </w:r>
      <w:r>
        <w:rPr>
          <w:spacing w:val="3"/>
        </w:rPr>
        <w:t>500</w:t>
      </w:r>
      <w:r>
        <w:rPr>
          <w:spacing w:val="-40"/>
        </w:rPr>
        <w:t xml:space="preserve"> </w:t>
      </w:r>
      <w:r>
        <w:rPr>
          <w:spacing w:val="3"/>
        </w:rPr>
        <w:t>强、上市</w:t>
      </w:r>
      <w:r>
        <w:rPr>
          <w:spacing w:val="2"/>
        </w:rPr>
        <w:t>公司、金融机构等企业</w:t>
      </w:r>
      <w:r>
        <w:rPr/>
        <w:t xml:space="preserve"> </w:t>
      </w:r>
      <w:r>
        <w:rPr>
          <w:spacing w:val="3"/>
        </w:rPr>
        <w:t>并开展实质性经营一年后，给予</w:t>
      </w:r>
      <w:r>
        <w:rPr>
          <w:spacing w:val="-44"/>
        </w:rPr>
        <w:t xml:space="preserve"> </w:t>
      </w:r>
      <w:r>
        <w:rPr>
          <w:spacing w:val="3"/>
        </w:rPr>
        <w:t>5</w:t>
      </w:r>
      <w:r>
        <w:rPr>
          <w:spacing w:val="-45"/>
        </w:rPr>
        <w:t xml:space="preserve"> </w:t>
      </w:r>
      <w:r>
        <w:rPr>
          <w:spacing w:val="3"/>
        </w:rPr>
        <w:t>万元一次性奖励，每</w:t>
      </w:r>
      <w:r>
        <w:rPr>
          <w:spacing w:val="2"/>
        </w:rPr>
        <w:t>年奖励总</w:t>
      </w:r>
      <w:r>
        <w:rPr/>
        <w:t xml:space="preserve"> </w:t>
      </w:r>
      <w:r>
        <w:rPr>
          <w:spacing w:val="-3"/>
        </w:rPr>
        <w:t>额不超过</w:t>
      </w:r>
      <w:r>
        <w:rPr>
          <w:spacing w:val="-41"/>
        </w:rPr>
        <w:t xml:space="preserve"> </w:t>
      </w:r>
      <w:r>
        <w:rPr>
          <w:spacing w:val="-3"/>
        </w:rPr>
        <w:t>50</w:t>
      </w:r>
      <w:r>
        <w:rPr>
          <w:spacing w:val="-42"/>
        </w:rPr>
        <w:t xml:space="preserve"> </w:t>
      </w:r>
      <w:r>
        <w:rPr>
          <w:spacing w:val="-3"/>
        </w:rPr>
        <w:t>万。</w:t>
      </w:r>
    </w:p>
    <w:p>
      <w:pPr>
        <w:pStyle w:val="BodyText"/>
        <w:ind w:left="2" w:right="81" w:firstLine="639"/>
        <w:spacing w:before="49" w:line="279" w:lineRule="auto"/>
        <w:rPr/>
      </w:pPr>
      <w:r>
        <w:rPr>
          <w:rFonts w:ascii="Microsoft YaHei" w:hAnsi="Microsoft YaHei" w:eastAsia="Microsoft YaHei" w:cs="Microsoft YaHei"/>
          <w:spacing w:val="7"/>
        </w:rPr>
        <w:t>3.支持楼宇引进科研平台。</w:t>
      </w:r>
      <w:r>
        <w:rPr>
          <w:spacing w:val="7"/>
        </w:rPr>
        <w:t>楼宇运营企业每新引进一</w:t>
      </w:r>
      <w:r>
        <w:rPr>
          <w:spacing w:val="6"/>
        </w:rPr>
        <w:t>家符合</w:t>
      </w:r>
      <w:r>
        <w:rPr/>
        <w:t xml:space="preserve"> </w:t>
      </w:r>
      <w:r>
        <w:rPr>
          <w:spacing w:val="17"/>
        </w:rPr>
        <w:t>本政策第九条第二款中的科技研发平台并开展实质性经营一年</w:t>
      </w:r>
      <w:r>
        <w:rPr>
          <w:spacing w:val="1"/>
        </w:rPr>
        <w:t xml:space="preserve"> </w:t>
      </w:r>
      <w:r>
        <w:rPr>
          <w:spacing w:val="6"/>
        </w:rPr>
        <w:t>后，给予</w:t>
      </w:r>
      <w:r>
        <w:rPr>
          <w:spacing w:val="6"/>
        </w:rPr>
        <w:t xml:space="preserve"> </w:t>
      </w:r>
      <w:r>
        <w:rPr>
          <w:spacing w:val="6"/>
        </w:rPr>
        <w:t>2</w:t>
      </w:r>
      <w:r>
        <w:rPr>
          <w:spacing w:val="6"/>
        </w:rPr>
        <w:t xml:space="preserve"> </w:t>
      </w:r>
      <w:r>
        <w:rPr>
          <w:spacing w:val="6"/>
        </w:rPr>
        <w:t>万元一次性奖励，每年奖励总额不超过</w:t>
      </w:r>
      <w:r>
        <w:rPr>
          <w:spacing w:val="36"/>
        </w:rPr>
        <w:t xml:space="preserve"> </w:t>
      </w:r>
      <w:r>
        <w:rPr>
          <w:spacing w:val="6"/>
        </w:rPr>
        <w:t>20</w:t>
      </w:r>
      <w:r>
        <w:rPr>
          <w:spacing w:val="37"/>
        </w:rPr>
        <w:t xml:space="preserve"> </w:t>
      </w:r>
      <w:r>
        <w:rPr>
          <w:spacing w:val="6"/>
        </w:rPr>
        <w:t>万。</w:t>
      </w:r>
    </w:p>
    <w:p>
      <w:pPr>
        <w:ind w:left="651"/>
        <w:spacing w:before="63" w:line="21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（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二</w:t>
      </w:r>
      <w:r>
        <w:rPr>
          <w:rFonts w:ascii="Microsoft YaHei" w:hAnsi="Microsoft YaHei" w:eastAsia="Microsoft YaHei" w:cs="Microsoft YaHei"/>
          <w:sz w:val="31"/>
          <w:szCs w:val="31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）支持楼宇提高产业集聚</w:t>
      </w:r>
    </w:p>
    <w:p>
      <w:pPr>
        <w:pStyle w:val="BodyText"/>
        <w:ind w:firstLine="634"/>
        <w:spacing w:before="71" w:line="303" w:lineRule="auto"/>
        <w:rPr/>
      </w:pPr>
      <w:r>
        <w:rPr>
          <w:rFonts w:ascii="Microsoft YaHei" w:hAnsi="Microsoft YaHei" w:eastAsia="Microsoft YaHei" w:cs="Microsoft YaHei"/>
          <w:spacing w:val="7"/>
        </w:rPr>
        <w:t>1.支持打造总部经济专业楼宇。</w:t>
      </w:r>
      <w:r>
        <w:rPr>
          <w:spacing w:val="7"/>
        </w:rPr>
        <w:t>楼宇企业入驻率和属地注册</w:t>
      </w:r>
      <w:r>
        <w:rPr>
          <w:spacing w:val="5"/>
        </w:rPr>
        <w:t xml:space="preserve"> </w:t>
      </w:r>
      <w:r>
        <w:rPr>
          <w:spacing w:val="3"/>
        </w:rPr>
        <w:t>率均达</w:t>
      </w:r>
      <w:r>
        <w:rPr>
          <w:spacing w:val="-43"/>
        </w:rPr>
        <w:t xml:space="preserve"> </w:t>
      </w:r>
      <w:r>
        <w:rPr>
          <w:spacing w:val="3"/>
        </w:rPr>
        <w:t>80%（含）</w:t>
      </w:r>
      <w:r>
        <w:rPr>
          <w:spacing w:val="-85"/>
        </w:rPr>
        <w:t xml:space="preserve"> </w:t>
      </w:r>
      <w:r>
        <w:rPr>
          <w:spacing w:val="3"/>
        </w:rPr>
        <w:t>以上、总部企业使用面积达到</w:t>
      </w:r>
      <w:r>
        <w:rPr>
          <w:spacing w:val="-33"/>
        </w:rPr>
        <w:t xml:space="preserve"> </w:t>
      </w:r>
      <w:r>
        <w:rPr>
          <w:spacing w:val="3"/>
        </w:rPr>
        <w:t>30%（含）</w:t>
      </w:r>
      <w:r>
        <w:rPr>
          <w:spacing w:val="-85"/>
        </w:rPr>
        <w:t xml:space="preserve"> </w:t>
      </w:r>
      <w:r>
        <w:rPr>
          <w:spacing w:val="2"/>
        </w:rPr>
        <w:t>以上</w:t>
      </w:r>
      <w:r>
        <w:rPr/>
        <w:t xml:space="preserve"> </w:t>
      </w:r>
      <w:r>
        <w:rPr>
          <w:spacing w:val="2"/>
        </w:rPr>
        <w:t>且总部企业数量达到</w:t>
      </w:r>
      <w:r>
        <w:rPr>
          <w:spacing w:val="-35"/>
        </w:rPr>
        <w:t xml:space="preserve"> </w:t>
      </w:r>
      <w:r>
        <w:rPr>
          <w:spacing w:val="2"/>
        </w:rPr>
        <w:t>2</w:t>
      </w:r>
      <w:r>
        <w:rPr>
          <w:spacing w:val="-55"/>
        </w:rPr>
        <w:t xml:space="preserve"> </w:t>
      </w:r>
      <w:r>
        <w:rPr>
          <w:spacing w:val="2"/>
        </w:rPr>
        <w:t>家（含）以上的商务楼宇，经认定为“</w:t>
      </w:r>
      <w:r>
        <w:rPr>
          <w:spacing w:val="-119"/>
        </w:rPr>
        <w:t xml:space="preserve"> </w:t>
      </w:r>
      <w:r>
        <w:rPr>
          <w:spacing w:val="2"/>
        </w:rPr>
        <w:t>总</w:t>
      </w:r>
      <w:r>
        <w:rPr/>
        <w:t xml:space="preserve"> </w:t>
      </w:r>
      <w:r>
        <w:rPr>
          <w:spacing w:val="-3"/>
        </w:rPr>
        <w:t>部经济专业楼宇”且承诺连续保持两年，楼宇总运营面积为</w:t>
      </w:r>
      <w:r>
        <w:rPr>
          <w:spacing w:val="-63"/>
        </w:rPr>
        <w:t xml:space="preserve"> </w:t>
      </w:r>
      <w:r>
        <w:rPr>
          <w:spacing w:val="-3"/>
        </w:rPr>
        <w:t>30000</w:t>
      </w:r>
      <w:r>
        <w:rPr/>
        <w:t xml:space="preserve"> </w:t>
      </w:r>
      <w:r>
        <w:rPr>
          <w:spacing w:val="-8"/>
        </w:rPr>
        <w:t>平方米（含）、40000</w:t>
      </w:r>
      <w:r>
        <w:rPr>
          <w:spacing w:val="-55"/>
        </w:rPr>
        <w:t xml:space="preserve"> </w:t>
      </w:r>
      <w:r>
        <w:rPr>
          <w:spacing w:val="-8"/>
        </w:rPr>
        <w:t>平方米（含）、50000</w:t>
      </w:r>
      <w:r>
        <w:rPr>
          <w:spacing w:val="-57"/>
        </w:rPr>
        <w:t xml:space="preserve"> </w:t>
      </w:r>
      <w:r>
        <w:rPr>
          <w:spacing w:val="-8"/>
        </w:rPr>
        <w:t>平方米（含）以上的，</w:t>
      </w:r>
      <w:r>
        <w:rPr/>
        <w:t xml:space="preserve"> </w:t>
      </w:r>
      <w:r>
        <w:rPr/>
        <w:t>分别给予楼宇运营企业</w:t>
      </w:r>
      <w:r>
        <w:rPr>
          <w:spacing w:val="-26"/>
        </w:rPr>
        <w:t xml:space="preserve"> </w:t>
      </w:r>
      <w:r>
        <w:rPr/>
        <w:t>50</w:t>
      </w:r>
      <w:r>
        <w:rPr>
          <w:spacing w:val="-43"/>
        </w:rPr>
        <w:t xml:space="preserve"> </w:t>
      </w:r>
      <w:r>
        <w:rPr/>
        <w:t>万元、100</w:t>
      </w:r>
      <w:r>
        <w:rPr>
          <w:spacing w:val="-44"/>
        </w:rPr>
        <w:t xml:space="preserve"> </w:t>
      </w:r>
      <w:r>
        <w:rPr/>
        <w:t>万元、150</w:t>
      </w:r>
      <w:r>
        <w:rPr>
          <w:spacing w:val="-42"/>
        </w:rPr>
        <w:t xml:space="preserve"> </w:t>
      </w:r>
      <w:r>
        <w:rPr/>
        <w:t>万元的奖励，奖</w:t>
      </w:r>
      <w:r>
        <w:rPr/>
        <w:t xml:space="preserve"> </w:t>
      </w:r>
      <w:r>
        <w:rPr>
          <w:spacing w:val="6"/>
        </w:rPr>
        <w:t>励总额按照</w:t>
      </w:r>
      <w:r>
        <w:rPr>
          <w:spacing w:val="-43"/>
        </w:rPr>
        <w:t xml:space="preserve"> </w:t>
      </w:r>
      <w:r>
        <w:rPr>
          <w:spacing w:val="6"/>
        </w:rPr>
        <w:t>50%、50%的比例分两年支付。</w:t>
      </w:r>
    </w:p>
    <w:p>
      <w:pPr>
        <w:pStyle w:val="BodyText"/>
        <w:ind w:left="639"/>
        <w:spacing w:before="59" w:line="188" w:lineRule="auto"/>
        <w:rPr/>
      </w:pPr>
      <w:r>
        <w:rPr>
          <w:rFonts w:ascii="Microsoft YaHei" w:hAnsi="Microsoft YaHei" w:eastAsia="Microsoft YaHei" w:cs="Microsoft YaHei"/>
          <w:spacing w:val="7"/>
        </w:rPr>
        <w:t>2.支持培育特色产业楼宇。</w:t>
      </w:r>
      <w:r>
        <w:rPr>
          <w:spacing w:val="7"/>
        </w:rPr>
        <w:t>楼宇企业入驻率和属地注册率均</w:t>
      </w:r>
    </w:p>
    <w:p>
      <w:pPr>
        <w:spacing w:line="188" w:lineRule="auto"/>
        <w:sectPr>
          <w:footerReference w:type="default" r:id="rId8"/>
          <w:pgSz w:w="11907" w:h="16840"/>
          <w:pgMar w:top="1431" w:right="1392" w:bottom="1844" w:left="1596" w:header="0" w:footer="1581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6" w:right="2" w:firstLine="1"/>
        <w:spacing w:before="101" w:line="317" w:lineRule="auto"/>
        <w:jc w:val="both"/>
        <w:rPr/>
      </w:pPr>
      <w:r>
        <w:rPr>
          <w:spacing w:val="7"/>
        </w:rPr>
        <w:t>达</w:t>
      </w:r>
      <w:r>
        <w:rPr>
          <w:spacing w:val="-45"/>
        </w:rPr>
        <w:t xml:space="preserve"> </w:t>
      </w:r>
      <w:r>
        <w:rPr>
          <w:spacing w:val="7"/>
        </w:rPr>
        <w:t>70%（含）以上的商务楼宇，楼宇产业集聚度或特色企</w:t>
      </w:r>
      <w:r>
        <w:rPr>
          <w:spacing w:val="6"/>
        </w:rPr>
        <w:t>业集中</w:t>
      </w:r>
      <w:r>
        <w:rPr/>
        <w:t xml:space="preserve"> </w:t>
      </w:r>
      <w:r>
        <w:rPr>
          <w:spacing w:val="-17"/>
        </w:rPr>
        <w:t>度达到</w:t>
      </w:r>
      <w:r>
        <w:rPr>
          <w:spacing w:val="-42"/>
        </w:rPr>
        <w:t xml:space="preserve"> </w:t>
      </w:r>
      <w:r>
        <w:rPr>
          <w:spacing w:val="-17"/>
        </w:rPr>
        <w:t>70%（含）以上，且特色产业企业数量分别达到</w:t>
      </w:r>
      <w:r>
        <w:rPr>
          <w:spacing w:val="-41"/>
        </w:rPr>
        <w:t xml:space="preserve"> </w:t>
      </w:r>
      <w:r>
        <w:rPr>
          <w:spacing w:val="-17"/>
        </w:rPr>
        <w:t>10</w:t>
      </w:r>
      <w:r>
        <w:rPr>
          <w:spacing w:val="-52"/>
        </w:rPr>
        <w:t xml:space="preserve"> </w:t>
      </w:r>
      <w:r>
        <w:rPr>
          <w:spacing w:val="-17"/>
        </w:rPr>
        <w:t>家（含）、</w:t>
      </w:r>
      <w:r>
        <w:rPr/>
        <w:t xml:space="preserve"> </w:t>
      </w:r>
      <w:r>
        <w:rPr>
          <w:spacing w:val="-5"/>
        </w:rPr>
        <w:t>20</w:t>
      </w:r>
      <w:r>
        <w:rPr>
          <w:spacing w:val="-50"/>
        </w:rPr>
        <w:t xml:space="preserve"> </w:t>
      </w:r>
      <w:r>
        <w:rPr>
          <w:spacing w:val="-5"/>
        </w:rPr>
        <w:t>家（含）、30</w:t>
      </w:r>
      <w:r>
        <w:rPr>
          <w:spacing w:val="-55"/>
        </w:rPr>
        <w:t xml:space="preserve"> </w:t>
      </w:r>
      <w:r>
        <w:rPr>
          <w:spacing w:val="-5"/>
        </w:rPr>
        <w:t>家（含）、50</w:t>
      </w:r>
      <w:r>
        <w:rPr>
          <w:spacing w:val="-54"/>
        </w:rPr>
        <w:t xml:space="preserve"> </w:t>
      </w:r>
      <w:r>
        <w:rPr>
          <w:spacing w:val="-5"/>
        </w:rPr>
        <w:t>家（含）以上，特色产业运营面积</w:t>
      </w:r>
      <w:r>
        <w:rPr/>
        <w:t xml:space="preserve"> </w:t>
      </w:r>
      <w:r>
        <w:rPr>
          <w:spacing w:val="-13"/>
        </w:rPr>
        <w:t>为</w:t>
      </w:r>
      <w:r>
        <w:rPr>
          <w:spacing w:val="-44"/>
        </w:rPr>
        <w:t xml:space="preserve"> </w:t>
      </w:r>
      <w:r>
        <w:rPr>
          <w:spacing w:val="-13"/>
        </w:rPr>
        <w:t>5000</w:t>
      </w:r>
      <w:r>
        <w:rPr>
          <w:spacing w:val="-55"/>
        </w:rPr>
        <w:t xml:space="preserve"> </w:t>
      </w:r>
      <w:r>
        <w:rPr>
          <w:spacing w:val="-13"/>
        </w:rPr>
        <w:t>平方米（含）、10000</w:t>
      </w:r>
      <w:r>
        <w:rPr>
          <w:spacing w:val="-54"/>
        </w:rPr>
        <w:t xml:space="preserve"> </w:t>
      </w:r>
      <w:r>
        <w:rPr>
          <w:spacing w:val="-13"/>
        </w:rPr>
        <w:t>平方米（含）、15000</w:t>
      </w:r>
      <w:r>
        <w:rPr>
          <w:spacing w:val="-55"/>
        </w:rPr>
        <w:t xml:space="preserve"> </w:t>
      </w:r>
      <w:r>
        <w:rPr>
          <w:spacing w:val="-13"/>
        </w:rPr>
        <w:t>平方米（</w:t>
      </w:r>
      <w:r>
        <w:rPr>
          <w:spacing w:val="-14"/>
        </w:rPr>
        <w:t>含）、</w:t>
      </w:r>
      <w:r>
        <w:rPr/>
        <w:t xml:space="preserve"> </w:t>
      </w:r>
      <w:r>
        <w:rPr>
          <w:spacing w:val="7"/>
        </w:rPr>
        <w:t>20000</w:t>
      </w:r>
      <w:r>
        <w:rPr>
          <w:spacing w:val="-54"/>
        </w:rPr>
        <w:t xml:space="preserve"> </w:t>
      </w:r>
      <w:r>
        <w:rPr>
          <w:spacing w:val="7"/>
        </w:rPr>
        <w:t>平方米（含）以上的，经认定为“特色产业楼宇”且</w:t>
      </w:r>
      <w:r>
        <w:rPr>
          <w:spacing w:val="6"/>
        </w:rPr>
        <w:t>承诺</w:t>
      </w:r>
      <w:r>
        <w:rPr/>
        <w:t xml:space="preserve"> </w:t>
      </w:r>
      <w:r>
        <w:rPr>
          <w:spacing w:val="4"/>
        </w:rPr>
        <w:t>连续保持两年，分别给予楼宇运营企业</w:t>
      </w:r>
      <w:r>
        <w:rPr>
          <w:spacing w:val="-38"/>
        </w:rPr>
        <w:t xml:space="preserve"> </w:t>
      </w:r>
      <w:r>
        <w:rPr>
          <w:spacing w:val="4"/>
        </w:rPr>
        <w:t>50</w:t>
      </w:r>
      <w:r>
        <w:rPr>
          <w:spacing w:val="-42"/>
        </w:rPr>
        <w:t xml:space="preserve"> </w:t>
      </w:r>
      <w:r>
        <w:rPr>
          <w:spacing w:val="4"/>
        </w:rPr>
        <w:t>万元、100</w:t>
      </w:r>
      <w:r>
        <w:rPr>
          <w:spacing w:val="-44"/>
        </w:rPr>
        <w:t xml:space="preserve"> </w:t>
      </w:r>
      <w:r>
        <w:rPr>
          <w:spacing w:val="4"/>
        </w:rPr>
        <w:t>万元、150</w:t>
      </w:r>
      <w:r>
        <w:rPr/>
        <w:t xml:space="preserve"> </w:t>
      </w:r>
      <w:r>
        <w:rPr>
          <w:spacing w:val="3"/>
        </w:rPr>
        <w:t>万元、200</w:t>
      </w:r>
      <w:r>
        <w:rPr>
          <w:spacing w:val="-42"/>
        </w:rPr>
        <w:t xml:space="preserve"> </w:t>
      </w:r>
      <w:r>
        <w:rPr>
          <w:spacing w:val="3"/>
        </w:rPr>
        <w:t>万元的奖励，奖励总额按照</w:t>
      </w:r>
      <w:r>
        <w:rPr>
          <w:spacing w:val="-47"/>
        </w:rPr>
        <w:t xml:space="preserve"> </w:t>
      </w:r>
      <w:r>
        <w:rPr>
          <w:spacing w:val="3"/>
        </w:rPr>
        <w:t>50%、5</w:t>
      </w:r>
      <w:r>
        <w:rPr>
          <w:spacing w:val="2"/>
        </w:rPr>
        <w:t>0%的比例分两年支</w:t>
      </w:r>
      <w:r>
        <w:rPr/>
        <w:t xml:space="preserve"> </w:t>
      </w:r>
      <w:r>
        <w:rPr>
          <w:spacing w:val="5"/>
        </w:rPr>
        <w:t>付。本条款每年奖励总额不超过</w:t>
      </w:r>
      <w:r>
        <w:rPr>
          <w:spacing w:val="-46"/>
        </w:rPr>
        <w:t xml:space="preserve"> </w:t>
      </w:r>
      <w:r>
        <w:rPr>
          <w:spacing w:val="5"/>
        </w:rPr>
        <w:t>200</w:t>
      </w:r>
      <w:r>
        <w:rPr>
          <w:spacing w:val="-42"/>
        </w:rPr>
        <w:t xml:space="preserve"> </w:t>
      </w:r>
      <w:r>
        <w:rPr>
          <w:spacing w:val="5"/>
        </w:rPr>
        <w:t>万元。</w:t>
      </w:r>
    </w:p>
    <w:p>
      <w:pPr>
        <w:pStyle w:val="BodyText"/>
        <w:ind w:right="97" w:firstLine="647"/>
        <w:spacing w:before="55" w:line="296" w:lineRule="auto"/>
        <w:jc w:val="both"/>
        <w:rPr/>
      </w:pPr>
      <w:r>
        <w:rPr>
          <w:rFonts w:ascii="Microsoft YaHei" w:hAnsi="Microsoft YaHei" w:eastAsia="Microsoft YaHei" w:cs="Microsoft YaHei"/>
          <w:spacing w:val="7"/>
        </w:rPr>
        <w:t>3.支持培育亿元楼宇。</w:t>
      </w:r>
      <w:r>
        <w:rPr>
          <w:spacing w:val="7"/>
        </w:rPr>
        <w:t>楼宇内纳统企业年度总营业收入（不</w:t>
      </w:r>
      <w:r>
        <w:rPr/>
        <w:t xml:space="preserve"> </w:t>
      </w:r>
      <w:r>
        <w:rPr>
          <w:spacing w:val="-8"/>
        </w:rPr>
        <w:t>含房地产业）首次超过</w:t>
      </w:r>
      <w:r>
        <w:rPr>
          <w:spacing w:val="-47"/>
        </w:rPr>
        <w:t xml:space="preserve"> </w:t>
      </w:r>
      <w:r>
        <w:rPr>
          <w:spacing w:val="-8"/>
        </w:rPr>
        <w:t>50</w:t>
      </w:r>
      <w:r>
        <w:rPr>
          <w:spacing w:val="-51"/>
        </w:rPr>
        <w:t xml:space="preserve"> </w:t>
      </w:r>
      <w:r>
        <w:rPr>
          <w:spacing w:val="-8"/>
        </w:rPr>
        <w:t>亿元（含）、100</w:t>
      </w:r>
      <w:r>
        <w:rPr>
          <w:spacing w:val="-51"/>
        </w:rPr>
        <w:t xml:space="preserve"> </w:t>
      </w:r>
      <w:r>
        <w:rPr>
          <w:spacing w:val="-8"/>
        </w:rPr>
        <w:t>亿元（含）、2</w:t>
      </w:r>
      <w:r>
        <w:rPr>
          <w:spacing w:val="-9"/>
        </w:rPr>
        <w:t>00</w:t>
      </w:r>
      <w:r>
        <w:rPr>
          <w:spacing w:val="-53"/>
        </w:rPr>
        <w:t xml:space="preserve"> </w:t>
      </w:r>
      <w:r>
        <w:rPr>
          <w:spacing w:val="-9"/>
        </w:rPr>
        <w:t>亿元</w:t>
      </w:r>
      <w:r>
        <w:rPr/>
        <w:t xml:space="preserve"> </w:t>
      </w:r>
      <w:r>
        <w:rPr>
          <w:spacing w:val="-6"/>
        </w:rPr>
        <w:t>（含）、500</w:t>
      </w:r>
      <w:r>
        <w:rPr>
          <w:spacing w:val="-53"/>
        </w:rPr>
        <w:t xml:space="preserve"> </w:t>
      </w:r>
      <w:r>
        <w:rPr>
          <w:spacing w:val="-6"/>
        </w:rPr>
        <w:t>亿元（含）、1000</w:t>
      </w:r>
      <w:r>
        <w:rPr>
          <w:spacing w:val="-51"/>
        </w:rPr>
        <w:t xml:space="preserve"> </w:t>
      </w:r>
      <w:r>
        <w:rPr>
          <w:spacing w:val="-6"/>
        </w:rPr>
        <w:t>亿元（含</w:t>
      </w:r>
      <w:r>
        <w:rPr>
          <w:spacing w:val="-7"/>
        </w:rPr>
        <w:t>）以上的商务楼宇，分别</w:t>
      </w:r>
      <w:r>
        <w:rPr/>
        <w:t xml:space="preserve"> </w:t>
      </w:r>
      <w:r>
        <w:rPr>
          <w:spacing w:val="3"/>
        </w:rPr>
        <w:t>给予楼宇运营企业</w:t>
      </w:r>
      <w:r>
        <w:rPr>
          <w:spacing w:val="-35"/>
        </w:rPr>
        <w:t xml:space="preserve"> </w:t>
      </w:r>
      <w:r>
        <w:rPr>
          <w:spacing w:val="3"/>
        </w:rPr>
        <w:t>5</w:t>
      </w:r>
      <w:r>
        <w:rPr>
          <w:spacing w:val="-42"/>
        </w:rPr>
        <w:t xml:space="preserve"> </w:t>
      </w:r>
      <w:r>
        <w:rPr>
          <w:spacing w:val="3"/>
        </w:rPr>
        <w:t>万元、10</w:t>
      </w:r>
      <w:r>
        <w:rPr>
          <w:spacing w:val="-42"/>
        </w:rPr>
        <w:t xml:space="preserve"> </w:t>
      </w:r>
      <w:r>
        <w:rPr>
          <w:spacing w:val="3"/>
        </w:rPr>
        <w:t>万元、20</w:t>
      </w:r>
      <w:r>
        <w:rPr>
          <w:spacing w:val="-42"/>
        </w:rPr>
        <w:t xml:space="preserve"> </w:t>
      </w:r>
      <w:r>
        <w:rPr>
          <w:spacing w:val="3"/>
        </w:rPr>
        <w:t>万元、50</w:t>
      </w:r>
      <w:r>
        <w:rPr>
          <w:spacing w:val="-42"/>
        </w:rPr>
        <w:t xml:space="preserve"> </w:t>
      </w:r>
      <w:r>
        <w:rPr>
          <w:spacing w:val="3"/>
        </w:rPr>
        <w:t>万元、100</w:t>
      </w:r>
      <w:r>
        <w:rPr>
          <w:spacing w:val="-42"/>
        </w:rPr>
        <w:t xml:space="preserve"> </w:t>
      </w:r>
      <w:r>
        <w:rPr>
          <w:spacing w:val="3"/>
        </w:rPr>
        <w:t>万</w:t>
      </w:r>
      <w:r>
        <w:rPr/>
        <w:t xml:space="preserve"> </w:t>
      </w:r>
      <w:r>
        <w:rPr>
          <w:spacing w:val="9"/>
        </w:rPr>
        <w:t>元的奖励。在达到下一级奖励台阶后，给予差额部分奖励。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3151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第五章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监督管理</w:t>
      </w:r>
    </w:p>
    <w:p>
      <w:pPr>
        <w:ind w:left="648"/>
        <w:spacing w:before="16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第十三条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协同保障</w:t>
      </w:r>
    </w:p>
    <w:p>
      <w:pPr>
        <w:pStyle w:val="BodyText"/>
        <w:ind w:left="11" w:firstLine="680"/>
        <w:spacing w:before="156" w:line="317" w:lineRule="auto"/>
        <w:rPr/>
      </w:pPr>
      <w:r>
        <w:rPr>
          <w:spacing w:val="5"/>
        </w:rPr>
        <w:t>由区商务局牵头负责，</w:t>
      </w:r>
      <w:r>
        <w:rPr>
          <w:spacing w:val="-92"/>
        </w:rPr>
        <w:t xml:space="preserve"> </w:t>
      </w:r>
      <w:r>
        <w:rPr>
          <w:spacing w:val="5"/>
        </w:rPr>
        <w:t>区财政、科工信、发改、</w:t>
      </w:r>
      <w:r>
        <w:rPr>
          <w:spacing w:val="4"/>
        </w:rPr>
        <w:t>营商环境、</w:t>
      </w:r>
      <w:r>
        <w:rPr/>
        <w:t xml:space="preserve"> </w:t>
      </w:r>
      <w:r>
        <w:rPr>
          <w:spacing w:val="-2"/>
        </w:rPr>
        <w:t>住建、资规、统计、金融、人社、教育、市场监督管理、</w:t>
      </w:r>
      <w:r>
        <w:rPr>
          <w:spacing w:val="-3"/>
        </w:rPr>
        <w:t>卫健委、</w:t>
      </w:r>
      <w:r>
        <w:rPr/>
        <w:t xml:space="preserve"> </w:t>
      </w:r>
      <w:r>
        <w:rPr>
          <w:spacing w:val="17"/>
        </w:rPr>
        <w:t>法院等相关行业主管部门依职责配合做好楼宇经济的审</w:t>
      </w:r>
      <w:r>
        <w:rPr>
          <w:spacing w:val="16"/>
        </w:rPr>
        <w:t>核认定</w:t>
      </w:r>
      <w:r>
        <w:rPr/>
        <w:t xml:space="preserve"> </w:t>
      </w:r>
      <w:r>
        <w:rPr>
          <w:spacing w:val="9"/>
        </w:rPr>
        <w:t>和奖补工作；定期召开工作例会，组织开展楼宇经济奖</w:t>
      </w:r>
      <w:r>
        <w:rPr>
          <w:spacing w:val="8"/>
        </w:rPr>
        <w:t>补申报、</w:t>
      </w:r>
      <w:r>
        <w:rPr/>
        <w:t xml:space="preserve"> </w:t>
      </w:r>
      <w:r>
        <w:rPr>
          <w:spacing w:val="5"/>
        </w:rPr>
        <w:t>奖补发放、沟通协调、政策落实情况的督促检查及跟踪问效等工</w:t>
      </w:r>
      <w:r>
        <w:rPr>
          <w:spacing w:val="8"/>
        </w:rPr>
        <w:t xml:space="preserve"> </w:t>
      </w:r>
      <w:r>
        <w:rPr>
          <w:spacing w:val="-4"/>
        </w:rPr>
        <w:t>作。</w:t>
      </w:r>
    </w:p>
    <w:p>
      <w:pPr>
        <w:ind w:left="648"/>
        <w:spacing w:before="48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第十四条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监管考核</w:t>
      </w:r>
    </w:p>
    <w:p>
      <w:pPr>
        <w:spacing w:line="227" w:lineRule="auto"/>
        <w:sectPr>
          <w:footerReference w:type="default" r:id="rId9"/>
          <w:pgSz w:w="11907" w:h="16840"/>
          <w:pgMar w:top="1431" w:right="1374" w:bottom="1844" w:left="1590" w:header="0" w:footer="1581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right="19" w:firstLine="640"/>
        <w:spacing w:before="101" w:line="313" w:lineRule="auto"/>
        <w:jc w:val="both"/>
        <w:rPr/>
      </w:pPr>
      <w:r>
        <w:rPr>
          <w:spacing w:val="5"/>
        </w:rPr>
        <w:t>本政策所涉奖励、补助、补贴按“企业承诺、自主申报”的</w:t>
      </w:r>
      <w:r>
        <w:rPr>
          <w:spacing w:val="1"/>
        </w:rPr>
        <w:t xml:space="preserve"> </w:t>
      </w:r>
      <w:r>
        <w:rPr>
          <w:spacing w:val="7"/>
        </w:rPr>
        <w:t>原则执行，奖补资金的核拨全过程信息公开，接受监察、审计、</w:t>
      </w:r>
      <w:r>
        <w:rPr>
          <w:spacing w:val="6"/>
        </w:rPr>
        <w:t xml:space="preserve"> </w:t>
      </w:r>
      <w:r>
        <w:rPr>
          <w:spacing w:val="5"/>
        </w:rPr>
        <w:t>财政和社会监督。区产业主管部门定期对运营主体及承租单位进</w:t>
      </w:r>
      <w:r>
        <w:rPr>
          <w:spacing w:val="10"/>
        </w:rPr>
        <w:t xml:space="preserve"> </w:t>
      </w:r>
      <w:r>
        <w:rPr>
          <w:spacing w:val="5"/>
        </w:rPr>
        <w:t>行监管考核。</w:t>
      </w:r>
    </w:p>
    <w:p>
      <w:pPr>
        <w:pStyle w:val="BodyText"/>
        <w:ind w:left="3" w:firstLine="658"/>
        <w:spacing w:before="52" w:line="317" w:lineRule="auto"/>
        <w:jc w:val="both"/>
        <w:rPr/>
      </w:pPr>
      <w:r>
        <w:rPr>
          <w:spacing w:val="-8"/>
        </w:rPr>
        <w:t>除另有约定外，实行“一事一议”、“一企一策”的企业、园</w:t>
      </w:r>
      <w:r>
        <w:rPr>
          <w:spacing w:val="16"/>
        </w:rPr>
        <w:t xml:space="preserve"> </w:t>
      </w:r>
      <w:r>
        <w:rPr>
          <w:spacing w:val="-3"/>
        </w:rPr>
        <w:t>区或楼宇，不再享受本政策。有以下情形之一的不予</w:t>
      </w:r>
      <w:r>
        <w:rPr>
          <w:spacing w:val="-4"/>
        </w:rPr>
        <w:t>奖励和补贴：</w:t>
      </w:r>
      <w:r>
        <w:rPr/>
        <w:t xml:space="preserve"> </w:t>
      </w:r>
      <w:r>
        <w:rPr>
          <w:spacing w:val="5"/>
        </w:rPr>
        <w:t>申请奖补前一年度发生安全生产、食品安全、环境污染等重大责</w:t>
      </w:r>
      <w:r>
        <w:rPr>
          <w:spacing w:val="6"/>
        </w:rPr>
        <w:t xml:space="preserve"> </w:t>
      </w:r>
      <w:r>
        <w:rPr>
          <w:spacing w:val="8"/>
        </w:rPr>
        <w:t>任事故和发生较大群体性事件；有严重违法失信</w:t>
      </w:r>
      <w:r>
        <w:rPr>
          <w:spacing w:val="7"/>
        </w:rPr>
        <w:t>行为；有偷税、</w:t>
      </w:r>
      <w:r>
        <w:rPr/>
        <w:t xml:space="preserve"> </w:t>
      </w:r>
      <w:r>
        <w:rPr>
          <w:spacing w:val="5"/>
        </w:rPr>
        <w:t>抗税、转移或隐匿应纳税收入等违法行为；有违反生态环境相关</w:t>
      </w:r>
      <w:r>
        <w:rPr>
          <w:spacing w:val="8"/>
        </w:rPr>
        <w:t xml:space="preserve"> </w:t>
      </w:r>
      <w:r>
        <w:rPr>
          <w:spacing w:val="5"/>
        </w:rPr>
        <w:t>法律法规受到行政处罚或刑事追究的行为；其他经研究议定不宜</w:t>
      </w:r>
      <w:r>
        <w:rPr>
          <w:spacing w:val="8"/>
        </w:rPr>
        <w:t xml:space="preserve"> </w:t>
      </w:r>
      <w:r>
        <w:rPr>
          <w:spacing w:val="5"/>
        </w:rPr>
        <w:t>奖补的行为。</w:t>
      </w:r>
    </w:p>
    <w:p>
      <w:pPr>
        <w:pStyle w:val="BodyText"/>
        <w:ind w:right="25" w:firstLine="688"/>
        <w:spacing w:before="56" w:line="315" w:lineRule="auto"/>
        <w:jc w:val="both"/>
        <w:rPr/>
      </w:pPr>
      <w:r>
        <w:rPr>
          <w:spacing w:val="3"/>
        </w:rPr>
        <w:t>申请奖补的企业应当对申报材料的真实性负责，并承担不实</w:t>
      </w:r>
      <w:r>
        <w:rPr>
          <w:spacing w:val="4"/>
        </w:rPr>
        <w:t xml:space="preserve"> </w:t>
      </w:r>
      <w:r>
        <w:rPr>
          <w:spacing w:val="5"/>
        </w:rPr>
        <w:t>申报的相关责任。对弄虚作假、违法违规、骗取奖补资金、未完</w:t>
      </w:r>
      <w:r>
        <w:rPr>
          <w:spacing w:val="12"/>
        </w:rPr>
        <w:t xml:space="preserve"> </w:t>
      </w:r>
      <w:r>
        <w:rPr>
          <w:spacing w:val="5"/>
        </w:rPr>
        <w:t>整履行相关合同和协议约定义务（承诺）的企业，一经查实，将</w:t>
      </w:r>
      <w:r>
        <w:rPr>
          <w:spacing w:val="15"/>
        </w:rPr>
        <w:t xml:space="preserve"> </w:t>
      </w:r>
      <w:r>
        <w:rPr>
          <w:spacing w:val="5"/>
        </w:rPr>
        <w:t>采取追回全额奖补资金、依法纳入诚信记录、追究相关法律责任</w:t>
      </w:r>
      <w:r>
        <w:rPr>
          <w:spacing w:val="10"/>
        </w:rPr>
        <w:t xml:space="preserve"> </w:t>
      </w:r>
      <w:r>
        <w:rPr>
          <w:spacing w:val="7"/>
        </w:rPr>
        <w:t>等措施予以相应的处理。涉嫌犯罪的，依法移送司法机关处理。</w:t>
      </w:r>
    </w:p>
    <w:p>
      <w:pPr>
        <w:pStyle w:val="BodyText"/>
        <w:ind w:left="640"/>
        <w:spacing w:before="55" w:line="219" w:lineRule="auto"/>
        <w:outlineLvl w:val="0"/>
        <w:rPr/>
      </w:pPr>
      <w:r>
        <w:rPr>
          <w:spacing w:val="15"/>
        </w:rPr>
        <w:t>本政策经办人员履职过程如存在失职失责、</w:t>
      </w:r>
      <w:r>
        <w:rPr>
          <w:spacing w:val="-83"/>
        </w:rPr>
        <w:t xml:space="preserve"> </w:t>
      </w:r>
      <w:r>
        <w:rPr>
          <w:spacing w:val="14"/>
        </w:rPr>
        <w:t>以权谋私等行</w:t>
      </w:r>
    </w:p>
    <w:p>
      <w:pPr>
        <w:pStyle w:val="BodyText"/>
        <w:ind w:left="9"/>
        <w:spacing w:before="172" w:line="219" w:lineRule="auto"/>
        <w:rPr/>
      </w:pPr>
      <w:r>
        <w:rPr>
          <w:spacing w:val="7"/>
        </w:rPr>
        <w:t>为，将予以追究纪法责任。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left="3144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第六章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其他事项</w:t>
      </w:r>
    </w:p>
    <w:p>
      <w:pPr>
        <w:pStyle w:val="BodyText"/>
        <w:ind w:right="71" w:firstLine="640"/>
        <w:spacing w:before="157" w:line="311" w:lineRule="auto"/>
        <w:jc w:val="both"/>
        <w:rPr/>
      </w:pPr>
      <w:r>
        <w:rPr>
          <w:rFonts w:ascii="SimHei" w:hAnsi="SimHei" w:eastAsia="SimHei" w:cs="SimHei"/>
          <w:spacing w:val="11"/>
        </w:rPr>
        <w:t>第十五条</w:t>
      </w:r>
      <w:r>
        <w:rPr>
          <w:rFonts w:ascii="SimHei" w:hAnsi="SimHei" w:eastAsia="SimHei" w:cs="SimHei"/>
          <w:spacing w:val="11"/>
        </w:rPr>
        <w:t xml:space="preserve"> </w:t>
      </w:r>
      <w:r>
        <w:rPr>
          <w:spacing w:val="11"/>
        </w:rPr>
        <w:t>除特别约定和说明外，本政策奖补资金受年</w:t>
      </w:r>
      <w:r>
        <w:rPr>
          <w:spacing w:val="10"/>
        </w:rPr>
        <w:t>度奖</w:t>
      </w:r>
      <w:r>
        <w:rPr/>
        <w:t xml:space="preserve"> </w:t>
      </w:r>
      <w:r>
        <w:rPr>
          <w:spacing w:val="5"/>
        </w:rPr>
        <w:t>补预算资金总额控制，所涉奖励、补贴等均为税前，且以人民币</w:t>
      </w:r>
      <w:r>
        <w:rPr>
          <w:spacing w:val="10"/>
        </w:rPr>
        <w:t xml:space="preserve"> </w:t>
      </w:r>
      <w:r>
        <w:rPr>
          <w:spacing w:val="5"/>
        </w:rPr>
        <w:t>进行兑现。</w:t>
      </w:r>
    </w:p>
    <w:p>
      <w:pPr>
        <w:spacing w:line="311" w:lineRule="auto"/>
        <w:sectPr>
          <w:footerReference w:type="default" r:id="rId10"/>
          <w:pgSz w:w="11907" w:h="16840"/>
          <w:pgMar w:top="1431" w:right="1405" w:bottom="1844" w:left="1598" w:header="0" w:footer="1580" w:gutter="0"/>
        </w:sectPr>
        <w:rPr/>
      </w:pP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left="60" w:right="164" w:firstLine="632"/>
        <w:spacing w:before="101" w:line="310" w:lineRule="auto"/>
        <w:jc w:val="both"/>
        <w:rPr/>
      </w:pPr>
      <w:r>
        <w:rPr>
          <w:rFonts w:ascii="SimHei" w:hAnsi="SimHei" w:eastAsia="SimHei" w:cs="SimHei"/>
          <w:spacing w:val="11"/>
        </w:rPr>
        <w:t>第十六条</w:t>
      </w:r>
      <w:r>
        <w:rPr>
          <w:rFonts w:ascii="SimHei" w:hAnsi="SimHei" w:eastAsia="SimHei" w:cs="SimHei"/>
          <w:spacing w:val="11"/>
        </w:rPr>
        <w:t xml:space="preserve"> </w:t>
      </w:r>
      <w:r>
        <w:rPr>
          <w:spacing w:val="11"/>
        </w:rPr>
        <w:t>本政策涉及扶持、奖励各项政策执行过程中，与</w:t>
      </w:r>
      <w:r>
        <w:rPr/>
        <w:t xml:space="preserve"> </w:t>
      </w:r>
      <w:r>
        <w:rPr>
          <w:spacing w:val="5"/>
        </w:rPr>
        <w:t>区级同类支持政策重叠的，按照“就高不就低、同类不重复”的</w:t>
      </w:r>
      <w:r>
        <w:rPr>
          <w:spacing w:val="6"/>
        </w:rPr>
        <w:t xml:space="preserve"> </w:t>
      </w:r>
      <w:r>
        <w:rPr>
          <w:spacing w:val="3"/>
        </w:rPr>
        <w:t>原则执行。</w:t>
      </w:r>
    </w:p>
    <w:p>
      <w:pPr>
        <w:pStyle w:val="BodyText"/>
        <w:ind w:left="55" w:right="166" w:firstLine="636"/>
        <w:spacing w:before="55" w:line="314" w:lineRule="auto"/>
        <w:jc w:val="both"/>
        <w:rPr/>
      </w:pPr>
      <w:r>
        <w:rPr>
          <w:rFonts w:ascii="SimHei" w:hAnsi="SimHei" w:eastAsia="SimHei" w:cs="SimHei"/>
          <w:spacing w:val="11"/>
        </w:rPr>
        <w:t>第十七条</w:t>
      </w:r>
      <w:r>
        <w:rPr>
          <w:rFonts w:ascii="SimHei" w:hAnsi="SimHei" w:eastAsia="SimHei" w:cs="SimHei"/>
          <w:spacing w:val="11"/>
        </w:rPr>
        <w:t xml:space="preserve"> </w:t>
      </w:r>
      <w:r>
        <w:rPr>
          <w:spacing w:val="11"/>
        </w:rPr>
        <w:t>政策有效期内受理通过的补贴申请，在政策超出</w:t>
      </w:r>
      <w:r>
        <w:rPr/>
        <w:t xml:space="preserve"> </w:t>
      </w:r>
      <w:r>
        <w:rPr>
          <w:spacing w:val="5"/>
        </w:rPr>
        <w:t>有效期后，企业累计补贴未达条款约定年度的，可给予继续补贴</w:t>
      </w:r>
      <w:r>
        <w:rPr>
          <w:spacing w:val="8"/>
        </w:rPr>
        <w:t xml:space="preserve"> </w:t>
      </w:r>
      <w:r>
        <w:rPr>
          <w:spacing w:val="5"/>
        </w:rPr>
        <w:t>至约定年度。本政策具体奖励、补贴申报流程和申报指南另行制</w:t>
      </w:r>
      <w:r>
        <w:rPr>
          <w:spacing w:val="6"/>
        </w:rPr>
        <w:t xml:space="preserve"> </w:t>
      </w:r>
      <w:r>
        <w:rPr>
          <w:spacing w:val="5"/>
        </w:rPr>
        <w:t>定发布实施。</w:t>
      </w:r>
    </w:p>
    <w:p>
      <w:pPr>
        <w:pStyle w:val="BodyText"/>
        <w:ind w:left="692"/>
        <w:spacing w:before="53" w:line="223" w:lineRule="auto"/>
        <w:rPr/>
      </w:pPr>
      <w:r>
        <w:rPr>
          <w:rFonts w:ascii="SimHei" w:hAnsi="SimHei" w:eastAsia="SimHei" w:cs="SimHei"/>
          <w:spacing w:val="8"/>
        </w:rPr>
        <w:t>第十八条</w:t>
      </w:r>
      <w:r>
        <w:rPr>
          <w:rFonts w:ascii="SimHei" w:hAnsi="SimHei" w:eastAsia="SimHei" w:cs="SimHei"/>
          <w:spacing w:val="8"/>
        </w:rPr>
        <w:t xml:space="preserve"> </w:t>
      </w:r>
      <w:r>
        <w:rPr>
          <w:spacing w:val="8"/>
        </w:rPr>
        <w:t>本政策由海口市秀英区商务局负责解释。</w:t>
      </w:r>
    </w:p>
    <w:p>
      <w:pPr>
        <w:pStyle w:val="BodyText"/>
        <w:ind w:left="60" w:right="166" w:firstLine="632"/>
        <w:spacing w:before="302" w:line="303" w:lineRule="auto"/>
        <w:rPr/>
      </w:pPr>
      <w:r>
        <w:rPr>
          <w:rFonts w:ascii="SimHei" w:hAnsi="SimHei" w:eastAsia="SimHei" w:cs="SimHei"/>
          <w:spacing w:val="11"/>
        </w:rPr>
        <w:t>第十九条</w:t>
      </w:r>
      <w:r>
        <w:rPr>
          <w:rFonts w:ascii="SimHei" w:hAnsi="SimHei" w:eastAsia="SimHei" w:cs="SimHei"/>
          <w:spacing w:val="11"/>
        </w:rPr>
        <w:t xml:space="preserve"> </w:t>
      </w:r>
      <w:r>
        <w:rPr>
          <w:spacing w:val="11"/>
        </w:rPr>
        <w:t>本政策自发布之日起正式实施，有效期两年。有</w:t>
      </w:r>
      <w:r>
        <w:rPr/>
        <w:t xml:space="preserve"> </w:t>
      </w:r>
      <w:r>
        <w:rPr>
          <w:spacing w:val="8"/>
        </w:rPr>
        <w:t>效期内国家、省、市政策另有规定的从其规定。</w:t>
      </w:r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tbl>
      <w:tblPr>
        <w:tblStyle w:val="TableNormal"/>
        <w:tblW w:w="9052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985"/>
        <w:gridCol w:w="4067"/>
      </w:tblGrid>
      <w:tr>
        <w:trPr>
          <w:trHeight w:val="712" w:hRule="atLeast"/>
        </w:trPr>
        <w:tc>
          <w:tcPr>
            <w:tcW w:w="4985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left="337"/>
              <w:spacing w:before="199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2"/>
              </w:rPr>
              <w:t>海口市秀英区人民政府办公室</w:t>
            </w:r>
          </w:p>
        </w:tc>
        <w:tc>
          <w:tcPr>
            <w:tcW w:w="4067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left="1167"/>
              <w:spacing w:before="198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4"/>
              </w:rPr>
              <w:t>2024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5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4"/>
              </w:rPr>
              <w:t>年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4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4"/>
              </w:rPr>
              <w:t>2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4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4"/>
              </w:rPr>
              <w:t>月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4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4"/>
              </w:rPr>
              <w:t>19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4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1"/>
      <w:pgSz w:w="11907" w:h="16840"/>
      <w:pgMar w:top="1431" w:right="1307" w:bottom="1844" w:left="1547" w:header="0" w:footer="158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7"/>
      <w:spacing w:line="189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7"/>
      </w:rPr>
      <w:t>— 2 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33"/>
      <w:spacing w:line="189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12"/>
      </w:rPr>
      <w:t>—</w:t>
    </w:r>
    <w:r>
      <w:rPr>
        <w:rFonts w:ascii="Arial" w:hAnsi="Arial" w:eastAsia="Arial" w:cs="Arial"/>
        <w:sz w:val="28"/>
        <w:szCs w:val="28"/>
        <w:spacing w:val="13"/>
      </w:rPr>
      <w:t xml:space="preserve"> </w:t>
    </w:r>
    <w:r>
      <w:rPr>
        <w:rFonts w:ascii="Arial" w:hAnsi="Arial" w:eastAsia="Arial" w:cs="Arial"/>
        <w:sz w:val="28"/>
        <w:szCs w:val="28"/>
        <w:spacing w:val="-12"/>
      </w:rPr>
      <w:t>11 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0"/>
      <w:spacing w:line="189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12"/>
      </w:rPr>
      <w:t>—</w:t>
    </w:r>
    <w:r>
      <w:rPr>
        <w:rFonts w:ascii="Arial" w:hAnsi="Arial" w:eastAsia="Arial" w:cs="Arial"/>
        <w:sz w:val="28"/>
        <w:szCs w:val="28"/>
        <w:spacing w:val="11"/>
      </w:rPr>
      <w:t xml:space="preserve"> </w:t>
    </w:r>
    <w:r>
      <w:rPr>
        <w:rFonts w:ascii="Arial" w:hAnsi="Arial" w:eastAsia="Arial" w:cs="Arial"/>
        <w:sz w:val="28"/>
        <w:szCs w:val="28"/>
        <w:spacing w:val="-12"/>
      </w:rPr>
      <w:t>12 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77"/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7"/>
      </w:rPr>
      <w:t>— 3 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9"/>
      <w:spacing w:line="189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7"/>
      </w:rPr>
      <w:t>— 4</w:t>
    </w:r>
    <w:r>
      <w:rPr>
        <w:rFonts w:ascii="Arial" w:hAnsi="Arial" w:eastAsia="Arial" w:cs="Arial"/>
        <w:sz w:val="28"/>
        <w:szCs w:val="28"/>
        <w:spacing w:val="-5"/>
      </w:rPr>
      <w:t xml:space="preserve"> </w:t>
    </w:r>
    <w:r>
      <w:rPr>
        <w:rFonts w:ascii="Arial" w:hAnsi="Arial" w:eastAsia="Arial" w:cs="Arial"/>
        <w:sz w:val="28"/>
        <w:szCs w:val="28"/>
        <w:spacing w:val="-7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0"/>
      <w:spacing w:line="185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7"/>
      </w:rPr>
      <w:t>— 5 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5"/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7"/>
      </w:rPr>
      <w:t>— 6 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0"/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7"/>
      </w:rPr>
      <w:t>— 7 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1"/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7"/>
      </w:rPr>
      <w:t>— 8 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77"/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7"/>
      </w:rPr>
      <w:t>— 9 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7"/>
      <w:spacing w:line="188" w:lineRule="auto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-12"/>
      </w:rPr>
      <w:t>—</w:t>
    </w:r>
    <w:r>
      <w:rPr>
        <w:rFonts w:ascii="Arial" w:hAnsi="Arial" w:eastAsia="Arial" w:cs="Arial"/>
        <w:sz w:val="28"/>
        <w:szCs w:val="28"/>
        <w:spacing w:val="11"/>
      </w:rPr>
      <w:t xml:space="preserve"> </w:t>
    </w:r>
    <w:r>
      <w:rPr>
        <w:rFonts w:ascii="Arial" w:hAnsi="Arial" w:eastAsia="Arial" w:cs="Arial"/>
        <w:sz w:val="28"/>
        <w:szCs w:val="28"/>
        <w:spacing w:val="-12"/>
      </w:rPr>
      <w:t>10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2024-03-18T16:29:54Z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2024-08-29T09:31:35</vt:filetime>
  </property>
</Properties>
</file>